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79DCB" w14:textId="77777777" w:rsidR="004B5863" w:rsidRDefault="00100447" w:rsidP="00330EA0">
      <w:pPr>
        <w:pStyle w:val="Titre1"/>
        <w:jc w:val="center"/>
      </w:pPr>
      <w:r>
        <w:t>Introduction</w:t>
      </w:r>
      <w:r w:rsidR="00330EA0" w:rsidRPr="00330EA0">
        <w:t xml:space="preserve"> du cours</w:t>
      </w:r>
    </w:p>
    <w:p w14:paraId="1BFD3470" w14:textId="77777777" w:rsidR="00330EA0" w:rsidRDefault="00330EA0" w:rsidP="00330EA0"/>
    <w:p w14:paraId="5BD16F4C" w14:textId="77777777" w:rsidR="00100447" w:rsidRDefault="00100447" w:rsidP="00100447">
      <w:pPr>
        <w:pStyle w:val="Titre2"/>
      </w:pPr>
      <w:bookmarkStart w:id="0" w:name="_Toc198948889"/>
      <w:r>
        <w:t>Présentation</w:t>
      </w:r>
      <w:bookmarkEnd w:id="0"/>
    </w:p>
    <w:p w14:paraId="0CA7A2CF" w14:textId="77777777" w:rsidR="00100447" w:rsidRDefault="00100447" w:rsidP="00100447"/>
    <w:p w14:paraId="161D9DC4" w14:textId="77777777" w:rsidR="00100447" w:rsidRPr="000A3569" w:rsidRDefault="00100447" w:rsidP="00100447">
      <w:pPr>
        <w:spacing w:before="100" w:beforeAutospacing="1" w:after="100" w:afterAutospacing="1"/>
        <w:rPr>
          <w:rFonts w:ascii="Times" w:hAnsi="Times" w:cs="Times New Roman"/>
          <w:sz w:val="20"/>
          <w:szCs w:val="20"/>
          <w:lang w:val="fr-CA"/>
        </w:rPr>
      </w:pPr>
      <w:r w:rsidRPr="000A3569">
        <w:rPr>
          <w:rFonts w:ascii="Arial" w:hAnsi="Arial" w:cs="Arial"/>
          <w:lang w:val="fr-CA"/>
        </w:rPr>
        <w:t xml:space="preserve">Dans cette présentation, vous trouverez tous les renseignements pour un apprentissage autonome et pour tout </w:t>
      </w:r>
      <w:proofErr w:type="spellStart"/>
      <w:r w:rsidRPr="000A3569">
        <w:rPr>
          <w:rFonts w:ascii="Arial" w:hAnsi="Arial" w:cs="Arial"/>
          <w:lang w:val="fr-CA"/>
        </w:rPr>
        <w:t>connaître</w:t>
      </w:r>
      <w:proofErr w:type="spellEnd"/>
      <w:r w:rsidRPr="000A3569">
        <w:rPr>
          <w:rFonts w:ascii="Arial" w:hAnsi="Arial" w:cs="Arial"/>
          <w:lang w:val="fr-CA"/>
        </w:rPr>
        <w:t xml:space="preserve"> sur le cours avant de vous y plonger. </w:t>
      </w:r>
    </w:p>
    <w:p w14:paraId="093A3562" w14:textId="77777777" w:rsidR="00100447" w:rsidRPr="000A3569" w:rsidRDefault="00100447" w:rsidP="00100447">
      <w:pPr>
        <w:spacing w:before="100" w:beforeAutospacing="1" w:after="100" w:afterAutospacing="1"/>
        <w:rPr>
          <w:rFonts w:ascii="Times" w:hAnsi="Times" w:cs="Times New Roman"/>
          <w:sz w:val="20"/>
          <w:szCs w:val="20"/>
          <w:lang w:val="fr-CA"/>
        </w:rPr>
      </w:pPr>
      <w:r w:rsidRPr="000A3569">
        <w:rPr>
          <w:rFonts w:ascii="Arial" w:hAnsi="Arial" w:cs="Arial"/>
          <w:lang w:val="fr-CA"/>
        </w:rPr>
        <w:t xml:space="preserve">La </w:t>
      </w:r>
      <w:r w:rsidRPr="000A3569">
        <w:rPr>
          <w:rFonts w:ascii="Arial" w:hAnsi="Arial" w:cs="Arial"/>
          <w:i/>
          <w:iCs/>
          <w:lang w:val="fr-CA"/>
        </w:rPr>
        <w:t>Présentation du cours</w:t>
      </w:r>
      <w:r w:rsidRPr="000A3569">
        <w:rPr>
          <w:rFonts w:ascii="Arial" w:hAnsi="Arial" w:cs="Arial"/>
          <w:lang w:val="fr-CA"/>
        </w:rPr>
        <w:t xml:space="preserve"> vous introduit au cours en vous présentant d'abord son contexte par la biais d'une vidéo du professeur responsable du cours, en indiquant le but et les objectifs poursuivis, puis en décrivant les préalables et le contenu du cours. Elle présente ensuite la démarche d’apprentissage, le type d’encadrement fourni, l’évaluation à laquelle vous serez soumis, l’environnement d’apprentissage mis à votre disposition, en plus de vous renseigner sur certaines ressources pour vos études à l'Université de Montréal.</w:t>
      </w:r>
    </w:p>
    <w:p w14:paraId="191EA787" w14:textId="77777777" w:rsidR="00100447" w:rsidRDefault="00100447" w:rsidP="00100447">
      <w:pPr>
        <w:pStyle w:val="Titre2"/>
      </w:pPr>
      <w:bookmarkStart w:id="1" w:name="_Toc198948890"/>
      <w:r>
        <w:t>Mot de bienvenue (présentation vidéo du prof du cours)</w:t>
      </w:r>
      <w:bookmarkEnd w:id="1"/>
    </w:p>
    <w:p w14:paraId="480D9EFD" w14:textId="77777777" w:rsidR="00100447" w:rsidRDefault="00100447" w:rsidP="00100447">
      <w:r>
        <w:rPr>
          <w:noProof/>
        </w:rPr>
        <w:drawing>
          <wp:anchor distT="0" distB="0" distL="114300" distR="114300" simplePos="0" relativeHeight="251659264" behindDoc="0" locked="0" layoutInCell="1" allowOverlap="1" wp14:anchorId="7D1C5718" wp14:editId="43462576">
            <wp:simplePos x="0" y="0"/>
            <wp:positionH relativeFrom="column">
              <wp:posOffset>0</wp:posOffset>
            </wp:positionH>
            <wp:positionV relativeFrom="paragraph">
              <wp:posOffset>132715</wp:posOffset>
            </wp:positionV>
            <wp:extent cx="4064000" cy="304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ert_ordonnance.wmv" descr="movie::file://localhost/Users/valeriechampoux/Documents/1.%20Projet%20UdeM/PROJET%202%20-%20PDPE/9.%20Re%CC%81alisation/transfert_ordonnance.wmv"/>
                    <pic:cNvPicPr/>
                  </pic:nvPicPr>
                  <pic:blipFill>
                    <a:blip r:embed="rId6">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anchor>
        </w:drawing>
      </w:r>
    </w:p>
    <w:p w14:paraId="4D992B8C" w14:textId="77777777" w:rsidR="00100447" w:rsidRPr="000A3569" w:rsidRDefault="00100447" w:rsidP="00100447"/>
    <w:p w14:paraId="08287952" w14:textId="77777777" w:rsidR="00100447" w:rsidRDefault="00100447" w:rsidP="00100447">
      <w:pPr>
        <w:pStyle w:val="Titre2"/>
      </w:pPr>
      <w:bookmarkStart w:id="2" w:name="_Toc198948891"/>
    </w:p>
    <w:p w14:paraId="13C30201" w14:textId="77777777" w:rsidR="00100447" w:rsidRDefault="00100447" w:rsidP="00100447">
      <w:pPr>
        <w:pStyle w:val="Titre2"/>
      </w:pPr>
    </w:p>
    <w:p w14:paraId="3B309138" w14:textId="77777777" w:rsidR="00100447" w:rsidRDefault="00100447" w:rsidP="00100447">
      <w:pPr>
        <w:pStyle w:val="Titre2"/>
      </w:pPr>
    </w:p>
    <w:p w14:paraId="513FD54E" w14:textId="77777777" w:rsidR="00100447" w:rsidRDefault="00100447" w:rsidP="00100447">
      <w:pPr>
        <w:pStyle w:val="Titre2"/>
      </w:pPr>
    </w:p>
    <w:p w14:paraId="18E6E183" w14:textId="77777777" w:rsidR="00100447" w:rsidRDefault="00100447" w:rsidP="00100447">
      <w:pPr>
        <w:pStyle w:val="Titre2"/>
      </w:pPr>
    </w:p>
    <w:p w14:paraId="6C661FB3" w14:textId="77777777" w:rsidR="00100447" w:rsidRDefault="00100447" w:rsidP="00100447">
      <w:pPr>
        <w:pStyle w:val="Titre2"/>
      </w:pPr>
    </w:p>
    <w:p w14:paraId="24DB1050" w14:textId="77777777" w:rsidR="00100447" w:rsidRDefault="00100447" w:rsidP="00100447">
      <w:pPr>
        <w:pStyle w:val="Titre2"/>
      </w:pPr>
    </w:p>
    <w:p w14:paraId="030D9154" w14:textId="77777777" w:rsidR="00100447" w:rsidRDefault="00100447" w:rsidP="00100447">
      <w:pPr>
        <w:pStyle w:val="Titre2"/>
      </w:pPr>
    </w:p>
    <w:p w14:paraId="3A8CE2D6" w14:textId="77777777" w:rsidR="00100447" w:rsidRDefault="00100447" w:rsidP="00100447">
      <w:pPr>
        <w:pStyle w:val="Titre2"/>
      </w:pPr>
    </w:p>
    <w:p w14:paraId="49E702BC" w14:textId="77777777" w:rsidR="00100447" w:rsidRDefault="00100447" w:rsidP="00100447">
      <w:pPr>
        <w:pStyle w:val="Titre2"/>
      </w:pPr>
      <w:r>
        <w:t>But du cours</w:t>
      </w:r>
      <w:bookmarkEnd w:id="2"/>
    </w:p>
    <w:p w14:paraId="3E60D2B8" w14:textId="77777777" w:rsidR="00100447" w:rsidRDefault="00100447" w:rsidP="00100447"/>
    <w:p w14:paraId="2380B051" w14:textId="77777777" w:rsidR="00100447" w:rsidRPr="0041323C" w:rsidRDefault="00100447" w:rsidP="00100447">
      <w:pPr>
        <w:spacing w:before="100" w:beforeAutospacing="1" w:after="100" w:afterAutospacing="1"/>
        <w:rPr>
          <w:rFonts w:cs="Times New Roman"/>
          <w:lang w:val="fr-CA"/>
        </w:rPr>
      </w:pPr>
      <w:r w:rsidRPr="0041323C">
        <w:rPr>
          <w:rFonts w:cs="Times New Roman"/>
          <w:lang w:val="fr-CA"/>
        </w:rPr>
        <w:t>À la fin du cours l’étudiant sera capable de (d’):</w:t>
      </w:r>
    </w:p>
    <w:p w14:paraId="1AF8D43E" w14:textId="77777777" w:rsidR="00100447" w:rsidRPr="0041323C" w:rsidRDefault="00100447" w:rsidP="00100447">
      <w:pPr>
        <w:numPr>
          <w:ilvl w:val="0"/>
          <w:numId w:val="4"/>
        </w:numPr>
        <w:spacing w:before="100" w:beforeAutospacing="1" w:after="100" w:afterAutospacing="1"/>
        <w:rPr>
          <w:rFonts w:eastAsia="Times New Roman" w:cs="Times New Roman"/>
          <w:lang w:val="fr-CA"/>
        </w:rPr>
      </w:pPr>
      <w:r w:rsidRPr="0041323C">
        <w:rPr>
          <w:rFonts w:eastAsia="Times New Roman" w:cs="Times New Roman"/>
          <w:lang w:val="fr-CA"/>
        </w:rPr>
        <w:lastRenderedPageBreak/>
        <w:t>appliquer la démarche de soins pharmaceutiques pour des maladies cardiovasculaires (hypertension, dyslipidémies, angine stable et syndrome coronarien aigu);</w:t>
      </w:r>
    </w:p>
    <w:p w14:paraId="56F30692" w14:textId="77777777" w:rsidR="00100447" w:rsidRPr="0041323C" w:rsidRDefault="00100447" w:rsidP="00100447">
      <w:pPr>
        <w:numPr>
          <w:ilvl w:val="0"/>
          <w:numId w:val="4"/>
        </w:numPr>
        <w:spacing w:before="100" w:beforeAutospacing="1" w:after="100" w:afterAutospacing="1"/>
        <w:rPr>
          <w:rFonts w:eastAsia="Times New Roman" w:cs="Times New Roman"/>
          <w:lang w:val="fr-CA"/>
        </w:rPr>
      </w:pPr>
      <w:r w:rsidRPr="0041323C">
        <w:rPr>
          <w:rFonts w:eastAsia="Times New Roman" w:cs="Times New Roman"/>
          <w:lang w:val="fr-CA"/>
        </w:rPr>
        <w:t>critiquer la littérature scientifique afin de choisir judicieusement une thérapie cardiovasculaire.</w:t>
      </w:r>
    </w:p>
    <w:p w14:paraId="444FE3C8" w14:textId="77777777" w:rsidR="00100447" w:rsidRDefault="00100447" w:rsidP="00100447">
      <w:pPr>
        <w:pStyle w:val="Titre2"/>
      </w:pPr>
      <w:bookmarkStart w:id="3" w:name="_Toc198948892"/>
      <w:r>
        <w:t>Objectifs de l’UA1, l’UA2 et l’UA3</w:t>
      </w:r>
      <w:bookmarkEnd w:id="3"/>
    </w:p>
    <w:p w14:paraId="47E25A34" w14:textId="77777777" w:rsidR="00100447" w:rsidRDefault="00100447" w:rsidP="00100447"/>
    <w:p w14:paraId="51AB61F8" w14:textId="77777777" w:rsidR="00100447" w:rsidRDefault="00100447" w:rsidP="00100447">
      <w:pPr>
        <w:rPr>
          <w:rFonts w:eastAsia="Times New Roman" w:cs="Times New Roman"/>
        </w:rPr>
      </w:pPr>
      <w:r>
        <w:rPr>
          <w:rFonts w:eastAsia="Times New Roman" w:cs="Times New Roman"/>
        </w:rPr>
        <w:t>Les objectifs du cours par unité d'apprentissage (UA) sont les suivants:</w:t>
      </w:r>
    </w:p>
    <w:p w14:paraId="36DA4235" w14:textId="77777777" w:rsidR="00100447" w:rsidRDefault="00100447" w:rsidP="00100447">
      <w:pPr>
        <w:rPr>
          <w:rFonts w:eastAsia="Times New Roman" w:cs="Times New Roman"/>
        </w:rPr>
      </w:pPr>
    </w:p>
    <w:tbl>
      <w:tblPr>
        <w:tblStyle w:val="Grille"/>
        <w:tblW w:w="0" w:type="auto"/>
        <w:tblLook w:val="04A0" w:firstRow="1" w:lastRow="0" w:firstColumn="1" w:lastColumn="0" w:noHBand="0" w:noVBand="1"/>
      </w:tblPr>
      <w:tblGrid>
        <w:gridCol w:w="1951"/>
        <w:gridCol w:w="7595"/>
      </w:tblGrid>
      <w:tr w:rsidR="00100447" w:rsidRPr="00901DD1" w14:paraId="792003AA" w14:textId="77777777" w:rsidTr="00B95159">
        <w:tc>
          <w:tcPr>
            <w:tcW w:w="9546" w:type="dxa"/>
            <w:gridSpan w:val="2"/>
          </w:tcPr>
          <w:p w14:paraId="6E2AC04C" w14:textId="77777777" w:rsidR="00100447" w:rsidRPr="00901DD1" w:rsidRDefault="00100447" w:rsidP="00B95159">
            <w:pPr>
              <w:rPr>
                <w:b/>
              </w:rPr>
            </w:pPr>
            <w:r w:rsidRPr="00901DD1">
              <w:rPr>
                <w:b/>
              </w:rPr>
              <w:t>UA1 </w:t>
            </w:r>
            <w:proofErr w:type="gramStart"/>
            <w:r w:rsidRPr="00901DD1">
              <w:rPr>
                <w:b/>
              </w:rPr>
              <w:t>:  Troubles</w:t>
            </w:r>
            <w:proofErr w:type="gramEnd"/>
            <w:r w:rsidRPr="00901DD1">
              <w:rPr>
                <w:b/>
              </w:rPr>
              <w:t xml:space="preserve"> de la tension artérielle</w:t>
            </w:r>
          </w:p>
        </w:tc>
      </w:tr>
      <w:tr w:rsidR="00100447" w14:paraId="144AAB3F" w14:textId="77777777" w:rsidTr="00B95159">
        <w:tc>
          <w:tcPr>
            <w:tcW w:w="1951" w:type="dxa"/>
          </w:tcPr>
          <w:p w14:paraId="5C398BDD" w14:textId="77777777" w:rsidR="00100447" w:rsidRDefault="00100447" w:rsidP="00B95159">
            <w:pPr>
              <w:jc w:val="center"/>
            </w:pPr>
            <w:r>
              <w:rPr>
                <w:noProof/>
              </w:rPr>
              <w:drawing>
                <wp:inline distT="0" distB="0" distL="0" distR="0" wp14:anchorId="7517EF83" wp14:editId="324C7804">
                  <wp:extent cx="452755" cy="422093"/>
                  <wp:effectExtent l="0" t="0" r="4445"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ur.png"/>
                          <pic:cNvPicPr/>
                        </pic:nvPicPr>
                        <pic:blipFill>
                          <a:blip r:embed="rId7">
                            <a:extLst>
                              <a:ext uri="{28A0092B-C50C-407E-A947-70E740481C1C}">
                                <a14:useLocalDpi xmlns:a14="http://schemas.microsoft.com/office/drawing/2010/main" val="0"/>
                              </a:ext>
                            </a:extLst>
                          </a:blip>
                          <a:stretch>
                            <a:fillRect/>
                          </a:stretch>
                        </pic:blipFill>
                        <pic:spPr>
                          <a:xfrm>
                            <a:off x="0" y="0"/>
                            <a:ext cx="453323" cy="422623"/>
                          </a:xfrm>
                          <a:prstGeom prst="rect">
                            <a:avLst/>
                          </a:prstGeom>
                        </pic:spPr>
                      </pic:pic>
                    </a:graphicData>
                  </a:graphic>
                </wp:inline>
              </w:drawing>
            </w:r>
          </w:p>
          <w:p w14:paraId="26B787E9" w14:textId="77777777" w:rsidR="00100447" w:rsidRDefault="00100447" w:rsidP="00B95159">
            <w:r>
              <w:t xml:space="preserve">À apprendre par </w:t>
            </w:r>
            <w:proofErr w:type="spellStart"/>
            <w:r>
              <w:t>coeur</w:t>
            </w:r>
            <w:proofErr w:type="spellEnd"/>
          </w:p>
        </w:tc>
        <w:tc>
          <w:tcPr>
            <w:tcW w:w="7595" w:type="dxa"/>
          </w:tcPr>
          <w:p w14:paraId="69E5BB53" w14:textId="77777777" w:rsidR="00100447" w:rsidRPr="00321ACF" w:rsidRDefault="00100447" w:rsidP="00B95159">
            <w:pPr>
              <w:pStyle w:val="BouletNiveau1"/>
              <w:tabs>
                <w:tab w:val="clear" w:pos="502"/>
                <w:tab w:val="num" w:pos="718"/>
              </w:tabs>
              <w:ind w:left="722" w:right="460"/>
              <w:rPr>
                <w:szCs w:val="22"/>
              </w:rPr>
            </w:pPr>
            <w:r w:rsidRPr="00321ACF">
              <w:rPr>
                <w:szCs w:val="22"/>
              </w:rPr>
              <w:t>Décrire…</w:t>
            </w:r>
          </w:p>
          <w:p w14:paraId="2D505C82"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mesures non pharmacologiques recommandées dans le traitement de l’hypertension artérielle;</w:t>
            </w:r>
          </w:p>
          <w:p w14:paraId="7EF9BCA4"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caractéristiques hémodynamiques particulières de certaines populations spéciales (personnes âgées, race noire, femme enceinte);</w:t>
            </w:r>
          </w:p>
          <w:p w14:paraId="4DC6E27A"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l’effet des divers traitements pharmacologiques sur la mortalité et la morbidité des patients atteints d’hypertension artérielle.</w:t>
            </w:r>
          </w:p>
          <w:p w14:paraId="61EB48BF"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résultats thérapeutiques recherchés dans le traitement de l’hypertension artérielle</w:t>
            </w:r>
          </w:p>
          <w:p w14:paraId="1A52ACD8" w14:textId="77777777" w:rsidR="00100447" w:rsidRPr="00321ACF" w:rsidRDefault="00100447" w:rsidP="00B95159">
            <w:pPr>
              <w:pStyle w:val="BouletNiveau1"/>
              <w:tabs>
                <w:tab w:val="clear" w:pos="502"/>
                <w:tab w:val="num" w:pos="718"/>
              </w:tabs>
              <w:ind w:left="722" w:right="460"/>
              <w:rPr>
                <w:szCs w:val="22"/>
              </w:rPr>
            </w:pPr>
            <w:r w:rsidRPr="00321ACF">
              <w:rPr>
                <w:szCs w:val="22"/>
              </w:rPr>
              <w:t>Lister…</w:t>
            </w:r>
          </w:p>
          <w:p w14:paraId="70BD8BB2"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indicateurs de suivi de l’efficacité et de l’innocuité des traitements pharmacologiques d’un patient atteint d’hypertension artérielle;</w:t>
            </w:r>
          </w:p>
          <w:p w14:paraId="32A51278"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principales étiologies et facteurs de risque d’hypertension artérielle.</w:t>
            </w:r>
          </w:p>
          <w:p w14:paraId="01C2412A" w14:textId="77777777" w:rsidR="00100447" w:rsidRDefault="00100447" w:rsidP="00B95159"/>
        </w:tc>
      </w:tr>
      <w:tr w:rsidR="00100447" w14:paraId="45E538FF" w14:textId="77777777" w:rsidTr="00B95159">
        <w:tc>
          <w:tcPr>
            <w:tcW w:w="1951" w:type="dxa"/>
          </w:tcPr>
          <w:p w14:paraId="0F985234" w14:textId="77777777" w:rsidR="00100447" w:rsidRDefault="00100447" w:rsidP="00B95159">
            <w:pPr>
              <w:jc w:val="center"/>
            </w:pPr>
            <w:r>
              <w:rPr>
                <w:noProof/>
              </w:rPr>
              <w:drawing>
                <wp:inline distT="0" distB="0" distL="0" distR="0" wp14:anchorId="3AA4FC02" wp14:editId="6664A84C">
                  <wp:extent cx="583106" cy="82359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ndre.jpg"/>
                          <pic:cNvPicPr/>
                        </pic:nvPicPr>
                        <pic:blipFill>
                          <a:blip r:embed="rId8">
                            <a:extLst>
                              <a:ext uri="{28A0092B-C50C-407E-A947-70E740481C1C}">
                                <a14:useLocalDpi xmlns:a14="http://schemas.microsoft.com/office/drawing/2010/main" val="0"/>
                              </a:ext>
                            </a:extLst>
                          </a:blip>
                          <a:stretch>
                            <a:fillRect/>
                          </a:stretch>
                        </pic:blipFill>
                        <pic:spPr>
                          <a:xfrm>
                            <a:off x="0" y="0"/>
                            <a:ext cx="583246" cy="823793"/>
                          </a:xfrm>
                          <a:prstGeom prst="rect">
                            <a:avLst/>
                          </a:prstGeom>
                        </pic:spPr>
                      </pic:pic>
                    </a:graphicData>
                  </a:graphic>
                </wp:inline>
              </w:drawing>
            </w:r>
          </w:p>
          <w:p w14:paraId="619655DA" w14:textId="77777777" w:rsidR="00100447" w:rsidRDefault="00100447" w:rsidP="00B95159">
            <w:r>
              <w:t>À comprendre</w:t>
            </w:r>
          </w:p>
        </w:tc>
        <w:tc>
          <w:tcPr>
            <w:tcW w:w="7595" w:type="dxa"/>
          </w:tcPr>
          <w:p w14:paraId="5F68788A" w14:textId="77777777" w:rsidR="00100447" w:rsidRPr="00776C31" w:rsidRDefault="00100447" w:rsidP="00B95159">
            <w:pPr>
              <w:pStyle w:val="BouletNiveau1"/>
              <w:numPr>
                <w:ilvl w:val="0"/>
                <w:numId w:val="3"/>
              </w:numPr>
              <w:ind w:right="460"/>
              <w:rPr>
                <w:szCs w:val="22"/>
              </w:rPr>
            </w:pPr>
            <w:r w:rsidRPr="00321ACF">
              <w:rPr>
                <w:szCs w:val="22"/>
              </w:rPr>
              <w:t>Énoncer sommairement l’approche diagnostique chez un patient suspecté d’hypertension artérielle.</w:t>
            </w:r>
          </w:p>
        </w:tc>
      </w:tr>
      <w:tr w:rsidR="00100447" w14:paraId="1AF66354" w14:textId="77777777" w:rsidTr="00B95159">
        <w:tc>
          <w:tcPr>
            <w:tcW w:w="1951" w:type="dxa"/>
          </w:tcPr>
          <w:p w14:paraId="05C879F0" w14:textId="77777777" w:rsidR="00100447" w:rsidRDefault="00100447" w:rsidP="00B95159">
            <w:pPr>
              <w:jc w:val="center"/>
            </w:pPr>
            <w:r>
              <w:rPr>
                <w:noProof/>
              </w:rPr>
              <w:drawing>
                <wp:inline distT="0" distB="0" distL="0" distR="0" wp14:anchorId="3E996811" wp14:editId="1E3A22B4">
                  <wp:extent cx="702125" cy="56959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9">
                            <a:extLst>
                              <a:ext uri="{28A0092B-C50C-407E-A947-70E740481C1C}">
                                <a14:useLocalDpi xmlns:a14="http://schemas.microsoft.com/office/drawing/2010/main" val="0"/>
                              </a:ext>
                            </a:extLst>
                          </a:blip>
                          <a:stretch>
                            <a:fillRect/>
                          </a:stretch>
                        </pic:blipFill>
                        <pic:spPr>
                          <a:xfrm>
                            <a:off x="0" y="0"/>
                            <a:ext cx="703696" cy="570870"/>
                          </a:xfrm>
                          <a:prstGeom prst="rect">
                            <a:avLst/>
                          </a:prstGeom>
                        </pic:spPr>
                      </pic:pic>
                    </a:graphicData>
                  </a:graphic>
                </wp:inline>
              </w:drawing>
            </w:r>
          </w:p>
          <w:p w14:paraId="76FAA3DB" w14:textId="77777777" w:rsidR="00100447" w:rsidRDefault="00100447" w:rsidP="00B95159">
            <w:r>
              <w:t>À utiliser en contexte</w:t>
            </w:r>
          </w:p>
        </w:tc>
        <w:tc>
          <w:tcPr>
            <w:tcW w:w="7595" w:type="dxa"/>
          </w:tcPr>
          <w:p w14:paraId="086D0731" w14:textId="77777777" w:rsidR="00100447" w:rsidRPr="00321ACF" w:rsidRDefault="00100447" w:rsidP="00B95159">
            <w:pPr>
              <w:pStyle w:val="BouletNiveau1"/>
              <w:tabs>
                <w:tab w:val="clear" w:pos="502"/>
                <w:tab w:val="num" w:pos="718"/>
              </w:tabs>
              <w:ind w:left="722" w:right="460"/>
              <w:rPr>
                <w:szCs w:val="22"/>
              </w:rPr>
            </w:pPr>
            <w:proofErr w:type="spellStart"/>
            <w:r w:rsidRPr="00321ACF">
              <w:rPr>
                <w:szCs w:val="22"/>
              </w:rPr>
              <w:t>Reconnaître</w:t>
            </w:r>
            <w:proofErr w:type="spellEnd"/>
            <w:r w:rsidRPr="00321ACF">
              <w:rPr>
                <w:szCs w:val="22"/>
              </w:rPr>
              <w:t>…</w:t>
            </w:r>
          </w:p>
          <w:p w14:paraId="59B99560"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médicaments, les maladies ou les comportements susceptibles de provoquer de l’hypertension artérielle;</w:t>
            </w:r>
          </w:p>
          <w:p w14:paraId="3FA47504"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produits de santé naturels pouvant provoquer de l’hypertension artérielle, provoquer des interactions médicamenteuses;</w:t>
            </w:r>
          </w:p>
          <w:p w14:paraId="2329FEEF"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signes et symptômes de la démarche à suivre pour une urgence hypertensive.</w:t>
            </w:r>
          </w:p>
          <w:p w14:paraId="1D25E08E" w14:textId="77777777" w:rsidR="00100447" w:rsidRPr="00321ACF" w:rsidRDefault="00100447" w:rsidP="00B95159">
            <w:pPr>
              <w:pStyle w:val="BouletNiveau1"/>
              <w:tabs>
                <w:tab w:val="clear" w:pos="502"/>
                <w:tab w:val="num" w:pos="718"/>
              </w:tabs>
              <w:ind w:left="722" w:right="460"/>
              <w:rPr>
                <w:szCs w:val="22"/>
              </w:rPr>
            </w:pPr>
            <w:r w:rsidRPr="00321ACF">
              <w:rPr>
                <w:szCs w:val="22"/>
              </w:rPr>
              <w:t>Formuler…</w:t>
            </w:r>
          </w:p>
          <w:p w14:paraId="5124773C"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conseils à transmettre au patient relativement à son traitement d’hypertension artérielle;</w:t>
            </w:r>
          </w:p>
          <w:p w14:paraId="7EFF15DB" w14:textId="77777777" w:rsidR="00100447" w:rsidRPr="00776C31" w:rsidRDefault="00100447" w:rsidP="00B95159">
            <w:pPr>
              <w:rPr>
                <w:lang w:val="fr-CA"/>
              </w:rPr>
            </w:pPr>
          </w:p>
        </w:tc>
      </w:tr>
      <w:tr w:rsidR="00100447" w14:paraId="5D6CBEE6" w14:textId="77777777" w:rsidTr="00B95159">
        <w:tc>
          <w:tcPr>
            <w:tcW w:w="1951" w:type="dxa"/>
          </w:tcPr>
          <w:p w14:paraId="794D4F39" w14:textId="77777777" w:rsidR="00100447" w:rsidRDefault="00100447" w:rsidP="00B95159">
            <w:pPr>
              <w:jc w:val="center"/>
            </w:pPr>
            <w:r>
              <w:rPr>
                <w:noProof/>
              </w:rPr>
              <w:drawing>
                <wp:inline distT="0" distB="0" distL="0" distR="0" wp14:anchorId="375214A7" wp14:editId="62EF2C86">
                  <wp:extent cx="580184" cy="6203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e.png"/>
                          <pic:cNvPicPr/>
                        </pic:nvPicPr>
                        <pic:blipFill>
                          <a:blip r:embed="rId10">
                            <a:extLst>
                              <a:ext uri="{28A0092B-C50C-407E-A947-70E740481C1C}">
                                <a14:useLocalDpi xmlns:a14="http://schemas.microsoft.com/office/drawing/2010/main" val="0"/>
                              </a:ext>
                            </a:extLst>
                          </a:blip>
                          <a:stretch>
                            <a:fillRect/>
                          </a:stretch>
                        </pic:blipFill>
                        <pic:spPr>
                          <a:xfrm>
                            <a:off x="0" y="0"/>
                            <a:ext cx="580939" cy="621202"/>
                          </a:xfrm>
                          <a:prstGeom prst="rect">
                            <a:avLst/>
                          </a:prstGeom>
                        </pic:spPr>
                      </pic:pic>
                    </a:graphicData>
                  </a:graphic>
                </wp:inline>
              </w:drawing>
            </w:r>
          </w:p>
          <w:p w14:paraId="25E54960" w14:textId="77777777" w:rsidR="00100447" w:rsidRDefault="00100447" w:rsidP="00B95159">
            <w:r>
              <w:t>À analyser</w:t>
            </w:r>
          </w:p>
        </w:tc>
        <w:tc>
          <w:tcPr>
            <w:tcW w:w="7595" w:type="dxa"/>
          </w:tcPr>
          <w:p w14:paraId="683CB187" w14:textId="77777777" w:rsidR="00100447" w:rsidRPr="00321ACF" w:rsidRDefault="00100447" w:rsidP="00B95159">
            <w:pPr>
              <w:pStyle w:val="NumrotationNiveau1"/>
              <w:keepNext w:val="0"/>
              <w:keepLines w:val="0"/>
              <w:rPr>
                <w:b/>
                <w:szCs w:val="22"/>
              </w:rPr>
            </w:pPr>
            <w:r w:rsidRPr="00321ACF">
              <w:rPr>
                <w:b/>
                <w:szCs w:val="22"/>
              </w:rPr>
              <w:t>Niveau 4 – Analyse</w:t>
            </w:r>
          </w:p>
          <w:p w14:paraId="7B737715" w14:textId="77777777" w:rsidR="00100447" w:rsidRPr="00321ACF" w:rsidRDefault="00100447" w:rsidP="00B95159">
            <w:pPr>
              <w:pStyle w:val="BouletNiveau1"/>
              <w:tabs>
                <w:tab w:val="clear" w:pos="502"/>
                <w:tab w:val="num" w:pos="718"/>
              </w:tabs>
              <w:ind w:left="722" w:right="460"/>
              <w:rPr>
                <w:szCs w:val="22"/>
              </w:rPr>
            </w:pPr>
            <w:r w:rsidRPr="00321ACF">
              <w:rPr>
                <w:szCs w:val="22"/>
              </w:rPr>
              <w:t>Dépister la présence d’hypotension orthostatique</w:t>
            </w:r>
          </w:p>
          <w:p w14:paraId="17AC682D" w14:textId="77777777" w:rsidR="00100447" w:rsidRPr="00321ACF" w:rsidRDefault="00100447" w:rsidP="00B95159">
            <w:pPr>
              <w:pStyle w:val="BouletNiveau1"/>
              <w:tabs>
                <w:tab w:val="clear" w:pos="502"/>
                <w:tab w:val="num" w:pos="718"/>
              </w:tabs>
              <w:ind w:left="722" w:right="460"/>
              <w:rPr>
                <w:szCs w:val="22"/>
              </w:rPr>
            </w:pPr>
            <w:r w:rsidRPr="00321ACF">
              <w:rPr>
                <w:szCs w:val="22"/>
              </w:rPr>
              <w:t>Dépister la présence d’hypertension artérielle</w:t>
            </w:r>
          </w:p>
          <w:p w14:paraId="4C255074" w14:textId="77777777" w:rsidR="00100447" w:rsidRPr="00321ACF" w:rsidRDefault="00100447" w:rsidP="00B95159">
            <w:pPr>
              <w:pStyle w:val="BouletNiveau1"/>
              <w:tabs>
                <w:tab w:val="clear" w:pos="502"/>
                <w:tab w:val="num" w:pos="718"/>
              </w:tabs>
              <w:ind w:left="722" w:right="460"/>
              <w:rPr>
                <w:szCs w:val="22"/>
              </w:rPr>
            </w:pPr>
            <w:r w:rsidRPr="00321ACF">
              <w:rPr>
                <w:szCs w:val="22"/>
              </w:rPr>
              <w:t xml:space="preserve">Proposer… </w:t>
            </w:r>
          </w:p>
          <w:p w14:paraId="4E8C3E44"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un traitement pharmacologique et non pharmacologique optimal pour un patient souffrant d’hypertension, en tenant compte des caractéristiques du patient et de l’étiologie;</w:t>
            </w:r>
          </w:p>
          <w:p w14:paraId="753DA585"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un suivi personnalisé pour un patient souffrant d’hypertension artérielle.</w:t>
            </w:r>
          </w:p>
          <w:p w14:paraId="5903D1F5" w14:textId="77777777" w:rsidR="00100447" w:rsidRPr="00321ACF" w:rsidRDefault="00100447" w:rsidP="00B95159">
            <w:pPr>
              <w:pStyle w:val="BouletNiveau1"/>
              <w:tabs>
                <w:tab w:val="clear" w:pos="502"/>
                <w:tab w:val="num" w:pos="718"/>
              </w:tabs>
              <w:ind w:left="722" w:right="460"/>
              <w:rPr>
                <w:szCs w:val="22"/>
              </w:rPr>
            </w:pPr>
            <w:r w:rsidRPr="00321ACF">
              <w:rPr>
                <w:szCs w:val="22"/>
              </w:rPr>
              <w:t xml:space="preserve">Anticiper, </w:t>
            </w:r>
            <w:proofErr w:type="spellStart"/>
            <w:r w:rsidRPr="00321ACF">
              <w:rPr>
                <w:szCs w:val="22"/>
              </w:rPr>
              <w:t>reconnaître</w:t>
            </w:r>
            <w:proofErr w:type="spellEnd"/>
            <w:r w:rsidRPr="00321ACF">
              <w:rPr>
                <w:szCs w:val="22"/>
              </w:rPr>
              <w:t xml:space="preserve"> et gérer…</w:t>
            </w:r>
          </w:p>
          <w:p w14:paraId="029A7A8D" w14:textId="77777777" w:rsidR="00100447" w:rsidRPr="00321ACF" w:rsidRDefault="00100447" w:rsidP="00B95159">
            <w:pPr>
              <w:pStyle w:val="BouletNiveau1"/>
              <w:numPr>
                <w:ilvl w:val="0"/>
                <w:numId w:val="2"/>
              </w:numPr>
              <w:tabs>
                <w:tab w:val="num" w:pos="1134"/>
              </w:tabs>
              <w:ind w:left="1134" w:right="460" w:hanging="425"/>
              <w:rPr>
                <w:b/>
                <w:szCs w:val="22"/>
              </w:rPr>
            </w:pPr>
            <w:r w:rsidRPr="00321ACF">
              <w:rPr>
                <w:szCs w:val="22"/>
              </w:rPr>
              <w:t>les interactions associées aux médicaments utilisés dans le traitement de l’hypertension artérielle;</w:t>
            </w:r>
          </w:p>
          <w:p w14:paraId="7B5C1ED4" w14:textId="77777777" w:rsidR="00100447" w:rsidRPr="00321ACF" w:rsidRDefault="00100447" w:rsidP="00B95159">
            <w:pPr>
              <w:pStyle w:val="BouletNiveau1"/>
              <w:numPr>
                <w:ilvl w:val="0"/>
                <w:numId w:val="2"/>
              </w:numPr>
              <w:tabs>
                <w:tab w:val="num" w:pos="1134"/>
              </w:tabs>
              <w:ind w:left="1134" w:right="460" w:hanging="425"/>
              <w:rPr>
                <w:b/>
                <w:szCs w:val="22"/>
              </w:rPr>
            </w:pPr>
            <w:r w:rsidRPr="00321ACF">
              <w:rPr>
                <w:szCs w:val="22"/>
              </w:rPr>
              <w:t>les effets secondaires associés aux médicaments utilisés dans le traitement de l’hypertension artérielle</w:t>
            </w:r>
          </w:p>
          <w:p w14:paraId="1817A049" w14:textId="77777777" w:rsidR="00100447" w:rsidRPr="00776C31" w:rsidRDefault="00100447" w:rsidP="00B95159">
            <w:pPr>
              <w:rPr>
                <w:lang w:val="fr-CA"/>
              </w:rPr>
            </w:pPr>
          </w:p>
        </w:tc>
      </w:tr>
    </w:tbl>
    <w:p w14:paraId="2FE4681B" w14:textId="77777777" w:rsidR="00100447" w:rsidRDefault="00100447" w:rsidP="00100447"/>
    <w:tbl>
      <w:tblPr>
        <w:tblStyle w:val="Grille"/>
        <w:tblW w:w="0" w:type="auto"/>
        <w:tblLook w:val="04A0" w:firstRow="1" w:lastRow="0" w:firstColumn="1" w:lastColumn="0" w:noHBand="0" w:noVBand="1"/>
      </w:tblPr>
      <w:tblGrid>
        <w:gridCol w:w="1951"/>
        <w:gridCol w:w="7595"/>
      </w:tblGrid>
      <w:tr w:rsidR="00100447" w:rsidRPr="00901DD1" w14:paraId="4153F9CB" w14:textId="77777777" w:rsidTr="00B95159">
        <w:tc>
          <w:tcPr>
            <w:tcW w:w="9546" w:type="dxa"/>
            <w:gridSpan w:val="2"/>
          </w:tcPr>
          <w:p w14:paraId="687A9285" w14:textId="77777777" w:rsidR="00100447" w:rsidRPr="00776C31" w:rsidRDefault="00100447" w:rsidP="00B95159">
            <w:pPr>
              <w:pStyle w:val="Titre3"/>
              <w:spacing w:before="0"/>
              <w:rPr>
                <w:b w:val="0"/>
                <w:color w:val="auto"/>
              </w:rPr>
            </w:pPr>
            <w:r w:rsidRPr="00776C31">
              <w:rPr>
                <w:color w:val="auto"/>
              </w:rPr>
              <w:t>UA 2 - Dyslipidémies et syndrome métabolique</w:t>
            </w:r>
          </w:p>
        </w:tc>
      </w:tr>
      <w:tr w:rsidR="00100447" w14:paraId="36341FB5" w14:textId="77777777" w:rsidTr="00B95159">
        <w:tc>
          <w:tcPr>
            <w:tcW w:w="1951" w:type="dxa"/>
          </w:tcPr>
          <w:p w14:paraId="4DA2B5CA" w14:textId="77777777" w:rsidR="00100447" w:rsidRDefault="00100447" w:rsidP="00B95159">
            <w:pPr>
              <w:jc w:val="center"/>
            </w:pPr>
            <w:r>
              <w:rPr>
                <w:noProof/>
              </w:rPr>
              <w:drawing>
                <wp:inline distT="0" distB="0" distL="0" distR="0" wp14:anchorId="0C8BF310" wp14:editId="6FF8733E">
                  <wp:extent cx="452755" cy="422093"/>
                  <wp:effectExtent l="0" t="0" r="4445" b="1016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ur.png"/>
                          <pic:cNvPicPr/>
                        </pic:nvPicPr>
                        <pic:blipFill>
                          <a:blip r:embed="rId7">
                            <a:extLst>
                              <a:ext uri="{28A0092B-C50C-407E-A947-70E740481C1C}">
                                <a14:useLocalDpi xmlns:a14="http://schemas.microsoft.com/office/drawing/2010/main" val="0"/>
                              </a:ext>
                            </a:extLst>
                          </a:blip>
                          <a:stretch>
                            <a:fillRect/>
                          </a:stretch>
                        </pic:blipFill>
                        <pic:spPr>
                          <a:xfrm>
                            <a:off x="0" y="0"/>
                            <a:ext cx="453323" cy="422623"/>
                          </a:xfrm>
                          <a:prstGeom prst="rect">
                            <a:avLst/>
                          </a:prstGeom>
                        </pic:spPr>
                      </pic:pic>
                    </a:graphicData>
                  </a:graphic>
                </wp:inline>
              </w:drawing>
            </w:r>
          </w:p>
          <w:p w14:paraId="7624E670" w14:textId="77777777" w:rsidR="00100447" w:rsidRDefault="00100447" w:rsidP="00B95159">
            <w:r>
              <w:t xml:space="preserve">À apprendre par </w:t>
            </w:r>
            <w:proofErr w:type="spellStart"/>
            <w:r>
              <w:t>coeur</w:t>
            </w:r>
            <w:proofErr w:type="spellEnd"/>
          </w:p>
        </w:tc>
        <w:tc>
          <w:tcPr>
            <w:tcW w:w="7595" w:type="dxa"/>
          </w:tcPr>
          <w:p w14:paraId="00A951A6" w14:textId="77777777" w:rsidR="00100447" w:rsidRPr="00321ACF" w:rsidRDefault="00100447" w:rsidP="00B95159">
            <w:pPr>
              <w:pStyle w:val="BouletNiveau1"/>
              <w:tabs>
                <w:tab w:val="clear" w:pos="502"/>
                <w:tab w:val="num" w:pos="718"/>
              </w:tabs>
              <w:ind w:left="722" w:right="460"/>
              <w:rPr>
                <w:szCs w:val="22"/>
              </w:rPr>
            </w:pPr>
            <w:r w:rsidRPr="00321ACF">
              <w:rPr>
                <w:szCs w:val="22"/>
              </w:rPr>
              <w:t>Décrire…</w:t>
            </w:r>
          </w:p>
          <w:p w14:paraId="7AAE03A0"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résultats thérapeutiques recherchés dans le traitement des dyslipidémies;</w:t>
            </w:r>
          </w:p>
          <w:p w14:paraId="00CE056B"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mesures non pharmacologiques recommandées dans le traitement des dyslipidémies;</w:t>
            </w:r>
          </w:p>
          <w:p w14:paraId="7AB29549"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l’effet des divers traitements pharmacologiques sur la mortalité et la morbidité des patients atteints d’une dyslipidémie;</w:t>
            </w:r>
          </w:p>
          <w:p w14:paraId="3016134C"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 risque de décès et de morbidité associé du syndrome métabolique.</w:t>
            </w:r>
          </w:p>
          <w:p w14:paraId="59EF20B3" w14:textId="77777777" w:rsidR="00100447" w:rsidRPr="00321ACF" w:rsidRDefault="00100447" w:rsidP="00B95159">
            <w:pPr>
              <w:pStyle w:val="BouletNiveau1"/>
              <w:tabs>
                <w:tab w:val="clear" w:pos="502"/>
                <w:tab w:val="num" w:pos="718"/>
              </w:tabs>
              <w:ind w:left="722" w:right="460"/>
              <w:rPr>
                <w:szCs w:val="22"/>
              </w:rPr>
            </w:pPr>
            <w:r w:rsidRPr="00321ACF">
              <w:rPr>
                <w:szCs w:val="22"/>
              </w:rPr>
              <w:t>Lister…</w:t>
            </w:r>
          </w:p>
          <w:p w14:paraId="45C667EA"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indicateurs de suivi de l’efficacité et de l’innocuité des traitements pharmacologiques d’un patient atteint de dyslipidémie;</w:t>
            </w:r>
          </w:p>
          <w:p w14:paraId="678D63A2" w14:textId="77777777" w:rsidR="00100447" w:rsidRPr="00776C31" w:rsidRDefault="00100447" w:rsidP="00B95159">
            <w:pPr>
              <w:pStyle w:val="BouletNiveau1"/>
              <w:numPr>
                <w:ilvl w:val="0"/>
                <w:numId w:val="2"/>
              </w:numPr>
              <w:tabs>
                <w:tab w:val="num" w:pos="1134"/>
              </w:tabs>
              <w:ind w:left="1134" w:right="460" w:hanging="425"/>
              <w:rPr>
                <w:szCs w:val="22"/>
              </w:rPr>
            </w:pPr>
            <w:r w:rsidRPr="00321ACF">
              <w:rPr>
                <w:szCs w:val="22"/>
              </w:rPr>
              <w:t>les critères diagnostiques du syndrome métabolique chez un patient;</w:t>
            </w:r>
          </w:p>
        </w:tc>
      </w:tr>
      <w:tr w:rsidR="00100447" w14:paraId="023DE1B0" w14:textId="77777777" w:rsidTr="00B95159">
        <w:tc>
          <w:tcPr>
            <w:tcW w:w="1951" w:type="dxa"/>
          </w:tcPr>
          <w:p w14:paraId="08B14523" w14:textId="77777777" w:rsidR="00100447" w:rsidRDefault="00100447" w:rsidP="00B95159">
            <w:pPr>
              <w:jc w:val="center"/>
            </w:pPr>
            <w:r>
              <w:rPr>
                <w:noProof/>
              </w:rPr>
              <w:drawing>
                <wp:inline distT="0" distB="0" distL="0" distR="0" wp14:anchorId="296A07D6" wp14:editId="63BB6F63">
                  <wp:extent cx="583106" cy="82359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ndre.jpg"/>
                          <pic:cNvPicPr/>
                        </pic:nvPicPr>
                        <pic:blipFill>
                          <a:blip r:embed="rId8">
                            <a:extLst>
                              <a:ext uri="{28A0092B-C50C-407E-A947-70E740481C1C}">
                                <a14:useLocalDpi xmlns:a14="http://schemas.microsoft.com/office/drawing/2010/main" val="0"/>
                              </a:ext>
                            </a:extLst>
                          </a:blip>
                          <a:stretch>
                            <a:fillRect/>
                          </a:stretch>
                        </pic:blipFill>
                        <pic:spPr>
                          <a:xfrm>
                            <a:off x="0" y="0"/>
                            <a:ext cx="583246" cy="823793"/>
                          </a:xfrm>
                          <a:prstGeom prst="rect">
                            <a:avLst/>
                          </a:prstGeom>
                        </pic:spPr>
                      </pic:pic>
                    </a:graphicData>
                  </a:graphic>
                </wp:inline>
              </w:drawing>
            </w:r>
          </w:p>
          <w:p w14:paraId="13B61627" w14:textId="77777777" w:rsidR="00100447" w:rsidRDefault="00100447" w:rsidP="00B95159">
            <w:r>
              <w:t>À comprendre</w:t>
            </w:r>
          </w:p>
        </w:tc>
        <w:tc>
          <w:tcPr>
            <w:tcW w:w="7595" w:type="dxa"/>
          </w:tcPr>
          <w:p w14:paraId="4B7C7FC1" w14:textId="77777777" w:rsidR="00100447" w:rsidRPr="00776C31" w:rsidRDefault="00100447" w:rsidP="00B95159">
            <w:pPr>
              <w:pStyle w:val="BouletNiveau1"/>
              <w:numPr>
                <w:ilvl w:val="0"/>
                <w:numId w:val="3"/>
              </w:numPr>
              <w:ind w:right="460"/>
              <w:rPr>
                <w:szCs w:val="22"/>
              </w:rPr>
            </w:pPr>
          </w:p>
        </w:tc>
      </w:tr>
      <w:tr w:rsidR="00100447" w14:paraId="3717AB95" w14:textId="77777777" w:rsidTr="00B95159">
        <w:tc>
          <w:tcPr>
            <w:tcW w:w="1951" w:type="dxa"/>
          </w:tcPr>
          <w:p w14:paraId="1B07D6DC" w14:textId="77777777" w:rsidR="00100447" w:rsidRDefault="00100447" w:rsidP="00B95159">
            <w:pPr>
              <w:jc w:val="center"/>
            </w:pPr>
            <w:r>
              <w:rPr>
                <w:noProof/>
              </w:rPr>
              <w:drawing>
                <wp:inline distT="0" distB="0" distL="0" distR="0" wp14:anchorId="28AD1038" wp14:editId="1253F35D">
                  <wp:extent cx="702125" cy="56959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9">
                            <a:extLst>
                              <a:ext uri="{28A0092B-C50C-407E-A947-70E740481C1C}">
                                <a14:useLocalDpi xmlns:a14="http://schemas.microsoft.com/office/drawing/2010/main" val="0"/>
                              </a:ext>
                            </a:extLst>
                          </a:blip>
                          <a:stretch>
                            <a:fillRect/>
                          </a:stretch>
                        </pic:blipFill>
                        <pic:spPr>
                          <a:xfrm>
                            <a:off x="0" y="0"/>
                            <a:ext cx="703696" cy="570870"/>
                          </a:xfrm>
                          <a:prstGeom prst="rect">
                            <a:avLst/>
                          </a:prstGeom>
                        </pic:spPr>
                      </pic:pic>
                    </a:graphicData>
                  </a:graphic>
                </wp:inline>
              </w:drawing>
            </w:r>
          </w:p>
          <w:p w14:paraId="16CA7910" w14:textId="77777777" w:rsidR="00100447" w:rsidRDefault="00100447" w:rsidP="00B95159">
            <w:r>
              <w:t>À utiliser en contexte</w:t>
            </w:r>
          </w:p>
        </w:tc>
        <w:tc>
          <w:tcPr>
            <w:tcW w:w="7595" w:type="dxa"/>
          </w:tcPr>
          <w:p w14:paraId="70931BB3" w14:textId="77777777" w:rsidR="00100447" w:rsidRPr="00321ACF" w:rsidRDefault="00100447" w:rsidP="00B95159">
            <w:pPr>
              <w:pStyle w:val="BouletNiveau1"/>
              <w:tabs>
                <w:tab w:val="clear" w:pos="502"/>
                <w:tab w:val="num" w:pos="718"/>
              </w:tabs>
              <w:ind w:left="722" w:right="460"/>
              <w:rPr>
                <w:szCs w:val="22"/>
              </w:rPr>
            </w:pPr>
            <w:r w:rsidRPr="00321ACF">
              <w:rPr>
                <w:szCs w:val="22"/>
              </w:rPr>
              <w:t>Formuler les conseils à transmettre au patient relativement à son traitement de dyslipidémies.</w:t>
            </w:r>
          </w:p>
          <w:p w14:paraId="569A8767" w14:textId="77777777" w:rsidR="00100447" w:rsidRPr="00321ACF" w:rsidRDefault="00100447" w:rsidP="00B95159">
            <w:pPr>
              <w:pStyle w:val="BouletNiveau1"/>
              <w:tabs>
                <w:tab w:val="clear" w:pos="502"/>
                <w:tab w:val="num" w:pos="718"/>
              </w:tabs>
              <w:ind w:left="722" w:right="460"/>
              <w:rPr>
                <w:szCs w:val="22"/>
              </w:rPr>
            </w:pPr>
            <w:r w:rsidRPr="00321ACF">
              <w:rPr>
                <w:szCs w:val="22"/>
              </w:rPr>
              <w:t xml:space="preserve">Évaluer le risque de décès et de morbidité associé aux dyslipidémies (Framingham </w:t>
            </w:r>
            <w:proofErr w:type="spellStart"/>
            <w:r w:rsidRPr="00321ACF">
              <w:rPr>
                <w:szCs w:val="22"/>
              </w:rPr>
              <w:t>risk</w:t>
            </w:r>
            <w:proofErr w:type="spellEnd"/>
            <w:r w:rsidRPr="00321ACF">
              <w:rPr>
                <w:szCs w:val="22"/>
              </w:rPr>
              <w:t xml:space="preserve"> score, et SCORE);</w:t>
            </w:r>
          </w:p>
          <w:p w14:paraId="0149717C" w14:textId="77777777" w:rsidR="00100447" w:rsidRPr="00321ACF" w:rsidRDefault="00100447" w:rsidP="00B95159">
            <w:pPr>
              <w:pStyle w:val="BouletNiveau1"/>
              <w:tabs>
                <w:tab w:val="clear" w:pos="502"/>
                <w:tab w:val="num" w:pos="718"/>
              </w:tabs>
              <w:ind w:left="722" w:right="460"/>
              <w:rPr>
                <w:szCs w:val="22"/>
              </w:rPr>
            </w:pPr>
            <w:r w:rsidRPr="00321ACF">
              <w:rPr>
                <w:szCs w:val="22"/>
              </w:rPr>
              <w:t>Conseiller un patient sur les produits de santé naturels pouvant affecter la dyslipidémie.</w:t>
            </w:r>
          </w:p>
          <w:p w14:paraId="79934735" w14:textId="77777777" w:rsidR="00100447" w:rsidRPr="00321ACF" w:rsidRDefault="00100447" w:rsidP="00B95159">
            <w:pPr>
              <w:pStyle w:val="BouletNiveau1"/>
              <w:tabs>
                <w:tab w:val="clear" w:pos="502"/>
                <w:tab w:val="num" w:pos="718"/>
              </w:tabs>
              <w:ind w:left="722" w:right="460"/>
              <w:rPr>
                <w:szCs w:val="22"/>
              </w:rPr>
            </w:pPr>
            <w:r w:rsidRPr="00321ACF">
              <w:rPr>
                <w:szCs w:val="22"/>
              </w:rPr>
              <w:t>Déterminer si un patient souffre de syndrome métabolique</w:t>
            </w:r>
          </w:p>
          <w:p w14:paraId="221FC00E" w14:textId="77777777" w:rsidR="00100447" w:rsidRPr="00776C31" w:rsidRDefault="00100447" w:rsidP="00B95159">
            <w:pPr>
              <w:rPr>
                <w:lang w:val="fr-CA"/>
              </w:rPr>
            </w:pPr>
          </w:p>
        </w:tc>
      </w:tr>
      <w:tr w:rsidR="00100447" w14:paraId="106C12C1" w14:textId="77777777" w:rsidTr="00B95159">
        <w:tc>
          <w:tcPr>
            <w:tcW w:w="1951" w:type="dxa"/>
          </w:tcPr>
          <w:p w14:paraId="221E4C72" w14:textId="77777777" w:rsidR="00100447" w:rsidRDefault="00100447" w:rsidP="00B95159">
            <w:pPr>
              <w:jc w:val="center"/>
            </w:pPr>
            <w:r>
              <w:rPr>
                <w:noProof/>
              </w:rPr>
              <w:drawing>
                <wp:inline distT="0" distB="0" distL="0" distR="0" wp14:anchorId="39ABE10C" wp14:editId="11E54DEC">
                  <wp:extent cx="580184" cy="62039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e.png"/>
                          <pic:cNvPicPr/>
                        </pic:nvPicPr>
                        <pic:blipFill>
                          <a:blip r:embed="rId10">
                            <a:extLst>
                              <a:ext uri="{28A0092B-C50C-407E-A947-70E740481C1C}">
                                <a14:useLocalDpi xmlns:a14="http://schemas.microsoft.com/office/drawing/2010/main" val="0"/>
                              </a:ext>
                            </a:extLst>
                          </a:blip>
                          <a:stretch>
                            <a:fillRect/>
                          </a:stretch>
                        </pic:blipFill>
                        <pic:spPr>
                          <a:xfrm>
                            <a:off x="0" y="0"/>
                            <a:ext cx="580509" cy="620742"/>
                          </a:xfrm>
                          <a:prstGeom prst="rect">
                            <a:avLst/>
                          </a:prstGeom>
                        </pic:spPr>
                      </pic:pic>
                    </a:graphicData>
                  </a:graphic>
                </wp:inline>
              </w:drawing>
            </w:r>
          </w:p>
          <w:p w14:paraId="7F6778AB" w14:textId="77777777" w:rsidR="00100447" w:rsidRDefault="00100447" w:rsidP="00B95159">
            <w:r>
              <w:t>À analyser</w:t>
            </w:r>
          </w:p>
        </w:tc>
        <w:tc>
          <w:tcPr>
            <w:tcW w:w="7595" w:type="dxa"/>
          </w:tcPr>
          <w:p w14:paraId="3F8D2E5C" w14:textId="77777777" w:rsidR="00100447" w:rsidRPr="00321ACF" w:rsidRDefault="00100447" w:rsidP="00B95159">
            <w:pPr>
              <w:pStyle w:val="BouletNiveau1"/>
              <w:tabs>
                <w:tab w:val="clear" w:pos="502"/>
                <w:tab w:val="num" w:pos="718"/>
              </w:tabs>
              <w:ind w:left="722" w:right="460"/>
              <w:rPr>
                <w:szCs w:val="22"/>
              </w:rPr>
            </w:pPr>
            <w:r w:rsidRPr="00321ACF">
              <w:rPr>
                <w:szCs w:val="22"/>
              </w:rPr>
              <w:t>Proposer…</w:t>
            </w:r>
          </w:p>
          <w:p w14:paraId="26384B2D"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un traitement pharmacologique et non pharmacologique optimal pour un patient souffrant de dyslipidémie, en tenant compte des comorbidités du patient et de l’étiologie;</w:t>
            </w:r>
          </w:p>
          <w:p w14:paraId="58A8C953"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un suivi personnalisé pour un patient souffrant de dyslipidémie.</w:t>
            </w:r>
          </w:p>
          <w:p w14:paraId="5E405608" w14:textId="77777777" w:rsidR="00100447" w:rsidRPr="00321ACF" w:rsidRDefault="00100447" w:rsidP="00B95159">
            <w:pPr>
              <w:pStyle w:val="BouletNiveau1"/>
              <w:tabs>
                <w:tab w:val="clear" w:pos="502"/>
                <w:tab w:val="num" w:pos="718"/>
              </w:tabs>
              <w:ind w:left="722" w:right="460"/>
              <w:rPr>
                <w:szCs w:val="22"/>
              </w:rPr>
            </w:pPr>
            <w:r w:rsidRPr="00321ACF">
              <w:rPr>
                <w:szCs w:val="22"/>
              </w:rPr>
              <w:t xml:space="preserve">Anticiper, </w:t>
            </w:r>
            <w:proofErr w:type="spellStart"/>
            <w:r w:rsidRPr="00321ACF">
              <w:rPr>
                <w:szCs w:val="22"/>
              </w:rPr>
              <w:t>reconnaître</w:t>
            </w:r>
            <w:proofErr w:type="spellEnd"/>
            <w:r w:rsidRPr="00321ACF">
              <w:rPr>
                <w:szCs w:val="22"/>
              </w:rPr>
              <w:t xml:space="preserve"> et gérer…</w:t>
            </w:r>
          </w:p>
          <w:p w14:paraId="65316BC9"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interactions associées aux médicaments utilisés dans le traitement des dyslipidémies;</w:t>
            </w:r>
          </w:p>
          <w:p w14:paraId="3400FA07"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effets secondaires aux médicaments utilisés dans le traitement des dyslipidémies.</w:t>
            </w:r>
          </w:p>
          <w:p w14:paraId="2484A9A0" w14:textId="77777777" w:rsidR="00100447" w:rsidRPr="00776C31" w:rsidRDefault="00100447" w:rsidP="00B95159">
            <w:pPr>
              <w:pStyle w:val="BouletNiveau1"/>
              <w:numPr>
                <w:ilvl w:val="0"/>
                <w:numId w:val="2"/>
              </w:numPr>
              <w:tabs>
                <w:tab w:val="num" w:pos="1134"/>
              </w:tabs>
              <w:ind w:left="1134" w:right="460" w:hanging="425"/>
            </w:pPr>
          </w:p>
        </w:tc>
      </w:tr>
    </w:tbl>
    <w:p w14:paraId="1D182F5C" w14:textId="77777777" w:rsidR="00100447" w:rsidRDefault="00100447" w:rsidP="00100447"/>
    <w:tbl>
      <w:tblPr>
        <w:tblStyle w:val="Grille"/>
        <w:tblW w:w="0" w:type="auto"/>
        <w:tblLook w:val="04A0" w:firstRow="1" w:lastRow="0" w:firstColumn="1" w:lastColumn="0" w:noHBand="0" w:noVBand="1"/>
      </w:tblPr>
      <w:tblGrid>
        <w:gridCol w:w="1951"/>
        <w:gridCol w:w="7595"/>
      </w:tblGrid>
      <w:tr w:rsidR="00100447" w:rsidRPr="00901DD1" w14:paraId="2A588904" w14:textId="77777777" w:rsidTr="00B95159">
        <w:tc>
          <w:tcPr>
            <w:tcW w:w="9546" w:type="dxa"/>
            <w:gridSpan w:val="2"/>
          </w:tcPr>
          <w:p w14:paraId="43DDAD92" w14:textId="77777777" w:rsidR="00100447" w:rsidRPr="00776C31" w:rsidRDefault="00100447" w:rsidP="00B95159">
            <w:pPr>
              <w:pStyle w:val="Titre3"/>
              <w:spacing w:before="0"/>
              <w:rPr>
                <w:b w:val="0"/>
                <w:color w:val="auto"/>
              </w:rPr>
            </w:pPr>
            <w:r w:rsidRPr="00776C31">
              <w:rPr>
                <w:color w:val="auto"/>
              </w:rPr>
              <w:t>UA 3 - Maladie coronarienne</w:t>
            </w:r>
          </w:p>
        </w:tc>
      </w:tr>
      <w:tr w:rsidR="00100447" w14:paraId="0D59FF59" w14:textId="77777777" w:rsidTr="00B95159">
        <w:tc>
          <w:tcPr>
            <w:tcW w:w="1951" w:type="dxa"/>
          </w:tcPr>
          <w:p w14:paraId="218D232A" w14:textId="77777777" w:rsidR="00100447" w:rsidRDefault="00100447" w:rsidP="00B95159">
            <w:pPr>
              <w:jc w:val="center"/>
            </w:pPr>
            <w:r>
              <w:rPr>
                <w:noProof/>
              </w:rPr>
              <w:drawing>
                <wp:inline distT="0" distB="0" distL="0" distR="0" wp14:anchorId="24EB11EE" wp14:editId="691B9DF7">
                  <wp:extent cx="452755" cy="422093"/>
                  <wp:effectExtent l="0" t="0" r="4445" b="1016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ur.png"/>
                          <pic:cNvPicPr/>
                        </pic:nvPicPr>
                        <pic:blipFill>
                          <a:blip r:embed="rId7">
                            <a:extLst>
                              <a:ext uri="{28A0092B-C50C-407E-A947-70E740481C1C}">
                                <a14:useLocalDpi xmlns:a14="http://schemas.microsoft.com/office/drawing/2010/main" val="0"/>
                              </a:ext>
                            </a:extLst>
                          </a:blip>
                          <a:stretch>
                            <a:fillRect/>
                          </a:stretch>
                        </pic:blipFill>
                        <pic:spPr>
                          <a:xfrm>
                            <a:off x="0" y="0"/>
                            <a:ext cx="453323" cy="422623"/>
                          </a:xfrm>
                          <a:prstGeom prst="rect">
                            <a:avLst/>
                          </a:prstGeom>
                        </pic:spPr>
                      </pic:pic>
                    </a:graphicData>
                  </a:graphic>
                </wp:inline>
              </w:drawing>
            </w:r>
          </w:p>
          <w:p w14:paraId="3E8ACB63" w14:textId="77777777" w:rsidR="00100447" w:rsidRDefault="00100447" w:rsidP="00B95159">
            <w:r>
              <w:t xml:space="preserve">À apprendre par </w:t>
            </w:r>
            <w:proofErr w:type="spellStart"/>
            <w:r>
              <w:t>coeur</w:t>
            </w:r>
            <w:proofErr w:type="spellEnd"/>
          </w:p>
        </w:tc>
        <w:tc>
          <w:tcPr>
            <w:tcW w:w="7595" w:type="dxa"/>
          </w:tcPr>
          <w:p w14:paraId="6DA97997" w14:textId="77777777" w:rsidR="00100447" w:rsidRPr="00321ACF" w:rsidRDefault="00100447" w:rsidP="00B95159">
            <w:pPr>
              <w:pStyle w:val="BouletNiveau1"/>
              <w:tabs>
                <w:tab w:val="clear" w:pos="502"/>
                <w:tab w:val="num" w:pos="718"/>
              </w:tabs>
              <w:ind w:left="722" w:right="460"/>
              <w:rPr>
                <w:szCs w:val="22"/>
              </w:rPr>
            </w:pPr>
            <w:r w:rsidRPr="00321ACF">
              <w:rPr>
                <w:szCs w:val="22"/>
              </w:rPr>
              <w:t>Lister…</w:t>
            </w:r>
          </w:p>
          <w:p w14:paraId="19AA93E3"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indicateurs de suivi de l’efficacité et de l’innocuité des traitements pharmacologiques d’un patient atteint d’angine stable;</w:t>
            </w:r>
          </w:p>
          <w:p w14:paraId="3FF83306"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indicateurs de suivi de l’efficacité et de l’innocuité des traitements pharmacologiques d’un patient atteint d’un syndrome coronarien aigu.</w:t>
            </w:r>
          </w:p>
          <w:p w14:paraId="2FCA3291" w14:textId="77777777" w:rsidR="00100447" w:rsidRPr="00321ACF" w:rsidRDefault="00100447" w:rsidP="00B95159">
            <w:pPr>
              <w:pStyle w:val="BouletNiveau1"/>
              <w:tabs>
                <w:tab w:val="clear" w:pos="502"/>
                <w:tab w:val="num" w:pos="718"/>
              </w:tabs>
              <w:ind w:left="722" w:right="460"/>
              <w:rPr>
                <w:szCs w:val="22"/>
              </w:rPr>
            </w:pPr>
            <w:r w:rsidRPr="00321ACF">
              <w:rPr>
                <w:szCs w:val="22"/>
              </w:rPr>
              <w:t>Énoncer sommairement…</w:t>
            </w:r>
          </w:p>
          <w:p w14:paraId="7B029FCA"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l’approche diagnostique chez un patient suspecté d’angine stable;</w:t>
            </w:r>
          </w:p>
          <w:p w14:paraId="2EB914A6" w14:textId="77777777" w:rsidR="00100447" w:rsidRPr="00776C31" w:rsidRDefault="00100447" w:rsidP="00B95159">
            <w:pPr>
              <w:pStyle w:val="BouletNiveau1"/>
              <w:numPr>
                <w:ilvl w:val="0"/>
                <w:numId w:val="2"/>
              </w:numPr>
              <w:tabs>
                <w:tab w:val="num" w:pos="1134"/>
              </w:tabs>
              <w:ind w:left="1134" w:right="460" w:hanging="425"/>
            </w:pPr>
            <w:r w:rsidRPr="00321ACF">
              <w:rPr>
                <w:szCs w:val="22"/>
              </w:rPr>
              <w:t>l’approche diagnostique chez un patient suspecté d’un syndrome coronarien aigu.</w:t>
            </w:r>
          </w:p>
        </w:tc>
      </w:tr>
      <w:tr w:rsidR="00100447" w14:paraId="753B23CE" w14:textId="77777777" w:rsidTr="00B95159">
        <w:tc>
          <w:tcPr>
            <w:tcW w:w="1951" w:type="dxa"/>
          </w:tcPr>
          <w:p w14:paraId="50A5A10B" w14:textId="77777777" w:rsidR="00100447" w:rsidRDefault="00100447" w:rsidP="00B95159">
            <w:pPr>
              <w:jc w:val="center"/>
            </w:pPr>
            <w:r>
              <w:rPr>
                <w:noProof/>
              </w:rPr>
              <w:drawing>
                <wp:inline distT="0" distB="0" distL="0" distR="0" wp14:anchorId="63880A02" wp14:editId="74F4E389">
                  <wp:extent cx="583106" cy="82359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ndre.jpg"/>
                          <pic:cNvPicPr/>
                        </pic:nvPicPr>
                        <pic:blipFill>
                          <a:blip r:embed="rId8">
                            <a:extLst>
                              <a:ext uri="{28A0092B-C50C-407E-A947-70E740481C1C}">
                                <a14:useLocalDpi xmlns:a14="http://schemas.microsoft.com/office/drawing/2010/main" val="0"/>
                              </a:ext>
                            </a:extLst>
                          </a:blip>
                          <a:stretch>
                            <a:fillRect/>
                          </a:stretch>
                        </pic:blipFill>
                        <pic:spPr>
                          <a:xfrm>
                            <a:off x="0" y="0"/>
                            <a:ext cx="583246" cy="823793"/>
                          </a:xfrm>
                          <a:prstGeom prst="rect">
                            <a:avLst/>
                          </a:prstGeom>
                        </pic:spPr>
                      </pic:pic>
                    </a:graphicData>
                  </a:graphic>
                </wp:inline>
              </w:drawing>
            </w:r>
          </w:p>
          <w:p w14:paraId="7D20072C" w14:textId="77777777" w:rsidR="00100447" w:rsidRDefault="00100447" w:rsidP="00B95159">
            <w:r>
              <w:t>À comprendre</w:t>
            </w:r>
          </w:p>
        </w:tc>
        <w:tc>
          <w:tcPr>
            <w:tcW w:w="7595" w:type="dxa"/>
          </w:tcPr>
          <w:p w14:paraId="50C01D91" w14:textId="77777777" w:rsidR="00100447" w:rsidRPr="00776C31" w:rsidRDefault="00100447" w:rsidP="00B95159">
            <w:pPr>
              <w:pStyle w:val="BouletNiveau1"/>
              <w:numPr>
                <w:ilvl w:val="0"/>
                <w:numId w:val="3"/>
              </w:numPr>
              <w:ind w:right="460"/>
              <w:rPr>
                <w:szCs w:val="22"/>
              </w:rPr>
            </w:pPr>
          </w:p>
        </w:tc>
      </w:tr>
      <w:tr w:rsidR="00100447" w14:paraId="615AD379" w14:textId="77777777" w:rsidTr="00B95159">
        <w:tc>
          <w:tcPr>
            <w:tcW w:w="1951" w:type="dxa"/>
          </w:tcPr>
          <w:p w14:paraId="78D997C2" w14:textId="77777777" w:rsidR="00100447" w:rsidRDefault="00100447" w:rsidP="00B95159">
            <w:pPr>
              <w:jc w:val="center"/>
            </w:pPr>
            <w:r>
              <w:rPr>
                <w:noProof/>
              </w:rPr>
              <w:drawing>
                <wp:inline distT="0" distB="0" distL="0" distR="0" wp14:anchorId="71CA05CA" wp14:editId="6E4CFC82">
                  <wp:extent cx="702125" cy="56959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9">
                            <a:extLst>
                              <a:ext uri="{28A0092B-C50C-407E-A947-70E740481C1C}">
                                <a14:useLocalDpi xmlns:a14="http://schemas.microsoft.com/office/drawing/2010/main" val="0"/>
                              </a:ext>
                            </a:extLst>
                          </a:blip>
                          <a:stretch>
                            <a:fillRect/>
                          </a:stretch>
                        </pic:blipFill>
                        <pic:spPr>
                          <a:xfrm>
                            <a:off x="0" y="0"/>
                            <a:ext cx="703696" cy="570870"/>
                          </a:xfrm>
                          <a:prstGeom prst="rect">
                            <a:avLst/>
                          </a:prstGeom>
                        </pic:spPr>
                      </pic:pic>
                    </a:graphicData>
                  </a:graphic>
                </wp:inline>
              </w:drawing>
            </w:r>
          </w:p>
          <w:p w14:paraId="4E9FEC7B" w14:textId="77777777" w:rsidR="00100447" w:rsidRDefault="00100447" w:rsidP="00B95159">
            <w:r>
              <w:t>À utiliser en contexte</w:t>
            </w:r>
          </w:p>
        </w:tc>
        <w:tc>
          <w:tcPr>
            <w:tcW w:w="7595" w:type="dxa"/>
          </w:tcPr>
          <w:p w14:paraId="68400006" w14:textId="77777777" w:rsidR="00100447" w:rsidRPr="00321ACF" w:rsidRDefault="00100447" w:rsidP="00B95159">
            <w:pPr>
              <w:pStyle w:val="BouletNiveau1"/>
              <w:tabs>
                <w:tab w:val="clear" w:pos="502"/>
                <w:tab w:val="num" w:pos="718"/>
              </w:tabs>
              <w:ind w:left="722" w:right="460"/>
              <w:rPr>
                <w:szCs w:val="22"/>
              </w:rPr>
            </w:pPr>
            <w:proofErr w:type="spellStart"/>
            <w:r w:rsidRPr="00321ACF">
              <w:rPr>
                <w:szCs w:val="22"/>
              </w:rPr>
              <w:t>Reconnaître</w:t>
            </w:r>
            <w:proofErr w:type="spellEnd"/>
            <w:r w:rsidRPr="00321ACF">
              <w:rPr>
                <w:szCs w:val="22"/>
              </w:rPr>
              <w:t xml:space="preserve">… </w:t>
            </w:r>
          </w:p>
          <w:p w14:paraId="7A4DE21C"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signes et symptômes caractéristiques de l’angine stable;</w:t>
            </w:r>
          </w:p>
          <w:p w14:paraId="18E836A6"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signes et symptômes caractéristiques d’un syndrome coronarien aigu;</w:t>
            </w:r>
          </w:p>
          <w:p w14:paraId="1F853621" w14:textId="77777777" w:rsidR="00100447" w:rsidRPr="00321ACF" w:rsidRDefault="00100447" w:rsidP="00B95159">
            <w:pPr>
              <w:pStyle w:val="BouletNiveau1"/>
              <w:tabs>
                <w:tab w:val="clear" w:pos="502"/>
                <w:tab w:val="num" w:pos="718"/>
              </w:tabs>
              <w:ind w:left="722" w:right="460"/>
              <w:rPr>
                <w:szCs w:val="22"/>
              </w:rPr>
            </w:pPr>
            <w:r w:rsidRPr="00321ACF">
              <w:rPr>
                <w:szCs w:val="22"/>
              </w:rPr>
              <w:t>Formuler…</w:t>
            </w:r>
          </w:p>
          <w:p w14:paraId="547A4FD4"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conseils à transmettre au patient relativement à son traitement d’angine stable;</w:t>
            </w:r>
          </w:p>
          <w:p w14:paraId="73554890"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conseils à transmettre au patient relativement à son traitement d’un syndrome coronarien aigu.</w:t>
            </w:r>
          </w:p>
          <w:p w14:paraId="29CDA045" w14:textId="77777777" w:rsidR="00100447" w:rsidRPr="00321ACF" w:rsidRDefault="00100447" w:rsidP="00B95159">
            <w:pPr>
              <w:pStyle w:val="BouletNiveau1"/>
              <w:tabs>
                <w:tab w:val="clear" w:pos="502"/>
                <w:tab w:val="num" w:pos="718"/>
              </w:tabs>
              <w:ind w:left="722" w:right="460"/>
              <w:rPr>
                <w:szCs w:val="22"/>
              </w:rPr>
            </w:pPr>
            <w:r w:rsidRPr="00321ACF">
              <w:rPr>
                <w:szCs w:val="22"/>
              </w:rPr>
              <w:t>Distinguer entre un syndrome coronarien aigu avec ou sans élévation du segment ST</w:t>
            </w:r>
          </w:p>
          <w:p w14:paraId="508A3688" w14:textId="77777777" w:rsidR="00100447" w:rsidRPr="00776C31" w:rsidRDefault="00100447" w:rsidP="00B95159">
            <w:pPr>
              <w:pStyle w:val="BouletNiveau1"/>
              <w:tabs>
                <w:tab w:val="clear" w:pos="502"/>
                <w:tab w:val="num" w:pos="718"/>
              </w:tabs>
              <w:ind w:left="722" w:right="460"/>
            </w:pPr>
            <w:r w:rsidRPr="00321ACF">
              <w:rPr>
                <w:szCs w:val="22"/>
              </w:rPr>
              <w:t xml:space="preserve">Adapter les conseils non-pharmacologiques d’un patient atteint d’angine ou </w:t>
            </w:r>
            <w:proofErr w:type="spellStart"/>
            <w:r w:rsidRPr="00321ACF">
              <w:rPr>
                <w:szCs w:val="22"/>
              </w:rPr>
              <w:t>ayany</w:t>
            </w:r>
            <w:proofErr w:type="spellEnd"/>
            <w:r w:rsidRPr="00321ACF">
              <w:rPr>
                <w:szCs w:val="22"/>
              </w:rPr>
              <w:t xml:space="preserve"> subi un syndrome coronarien aigu au style de vie du patient </w:t>
            </w:r>
            <w:proofErr w:type="gramStart"/>
            <w:r w:rsidRPr="00321ACF">
              <w:rPr>
                <w:szCs w:val="22"/>
              </w:rPr>
              <w:t>( exercices</w:t>
            </w:r>
            <w:proofErr w:type="gramEnd"/>
            <w:r w:rsidRPr="00321ACF">
              <w:rPr>
                <w:szCs w:val="22"/>
              </w:rPr>
              <w:t>, voyage, conduite d’une voiture, etc.)</w:t>
            </w:r>
          </w:p>
        </w:tc>
      </w:tr>
      <w:tr w:rsidR="00100447" w14:paraId="77BBFA74" w14:textId="77777777" w:rsidTr="00B95159">
        <w:tc>
          <w:tcPr>
            <w:tcW w:w="1951" w:type="dxa"/>
          </w:tcPr>
          <w:p w14:paraId="746FC184" w14:textId="77777777" w:rsidR="00100447" w:rsidRDefault="00100447" w:rsidP="00B95159">
            <w:pPr>
              <w:jc w:val="center"/>
            </w:pPr>
            <w:r>
              <w:rPr>
                <w:noProof/>
              </w:rPr>
              <w:drawing>
                <wp:inline distT="0" distB="0" distL="0" distR="0" wp14:anchorId="1A7FF73F" wp14:editId="3A3CF4A5">
                  <wp:extent cx="580184" cy="6203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e.png"/>
                          <pic:cNvPicPr/>
                        </pic:nvPicPr>
                        <pic:blipFill>
                          <a:blip r:embed="rId10">
                            <a:extLst>
                              <a:ext uri="{28A0092B-C50C-407E-A947-70E740481C1C}">
                                <a14:useLocalDpi xmlns:a14="http://schemas.microsoft.com/office/drawing/2010/main" val="0"/>
                              </a:ext>
                            </a:extLst>
                          </a:blip>
                          <a:stretch>
                            <a:fillRect/>
                          </a:stretch>
                        </pic:blipFill>
                        <pic:spPr>
                          <a:xfrm>
                            <a:off x="0" y="0"/>
                            <a:ext cx="580509" cy="620742"/>
                          </a:xfrm>
                          <a:prstGeom prst="rect">
                            <a:avLst/>
                          </a:prstGeom>
                        </pic:spPr>
                      </pic:pic>
                    </a:graphicData>
                  </a:graphic>
                </wp:inline>
              </w:drawing>
            </w:r>
          </w:p>
          <w:p w14:paraId="7E5FC8C1" w14:textId="77777777" w:rsidR="00100447" w:rsidRDefault="00100447" w:rsidP="00B95159">
            <w:r>
              <w:t>À analyser</w:t>
            </w:r>
          </w:p>
        </w:tc>
        <w:tc>
          <w:tcPr>
            <w:tcW w:w="7595" w:type="dxa"/>
          </w:tcPr>
          <w:p w14:paraId="3BA59238" w14:textId="77777777" w:rsidR="00100447" w:rsidRPr="00321ACF" w:rsidRDefault="00100447" w:rsidP="00B95159">
            <w:pPr>
              <w:pStyle w:val="BouletNiveau1"/>
              <w:tabs>
                <w:tab w:val="clear" w:pos="502"/>
                <w:tab w:val="num" w:pos="718"/>
              </w:tabs>
              <w:ind w:left="722" w:right="460"/>
              <w:rPr>
                <w:szCs w:val="22"/>
              </w:rPr>
            </w:pPr>
            <w:r w:rsidRPr="00321ACF">
              <w:rPr>
                <w:szCs w:val="22"/>
              </w:rPr>
              <w:t>Proposer…</w:t>
            </w:r>
          </w:p>
          <w:p w14:paraId="59E73CCB"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un traitement pharmacologique et non pharmacologique optimal pour un patient souffrant d’angine stable, en tenant compte des comorbidités du patient;</w:t>
            </w:r>
          </w:p>
          <w:p w14:paraId="17141868"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un traitement pharmacologique et non pharmacologique optimal pour un patient souffrant d’un syndrome coronarien aigu, en tenant compte des comorbidités du patient;</w:t>
            </w:r>
          </w:p>
          <w:p w14:paraId="78F90D64"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un suivi personnalisé pour un patient souffrant d’angine stable;</w:t>
            </w:r>
          </w:p>
          <w:p w14:paraId="0583BDB4"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un suivi personnalisé pour un patient souffrant d’un syndrome coronarien aigu.</w:t>
            </w:r>
          </w:p>
          <w:p w14:paraId="2A1145FC" w14:textId="77777777" w:rsidR="00100447" w:rsidRPr="00321ACF" w:rsidRDefault="00100447" w:rsidP="00B95159">
            <w:pPr>
              <w:pStyle w:val="BouletNiveau1"/>
              <w:numPr>
                <w:ilvl w:val="0"/>
                <w:numId w:val="0"/>
              </w:numPr>
              <w:ind w:left="718" w:hanging="360"/>
              <w:rPr>
                <w:szCs w:val="22"/>
              </w:rPr>
            </w:pPr>
          </w:p>
          <w:p w14:paraId="73B692BC" w14:textId="77777777" w:rsidR="00100447" w:rsidRPr="00321ACF" w:rsidRDefault="00100447" w:rsidP="00B95159">
            <w:pPr>
              <w:pStyle w:val="BouletNiveau1"/>
              <w:tabs>
                <w:tab w:val="clear" w:pos="502"/>
                <w:tab w:val="num" w:pos="718"/>
                <w:tab w:val="num" w:pos="1134"/>
              </w:tabs>
              <w:ind w:left="722" w:right="460"/>
              <w:rPr>
                <w:szCs w:val="22"/>
              </w:rPr>
            </w:pPr>
            <w:r w:rsidRPr="00321ACF">
              <w:rPr>
                <w:szCs w:val="22"/>
              </w:rPr>
              <w:t xml:space="preserve">Anticiper, </w:t>
            </w:r>
            <w:proofErr w:type="spellStart"/>
            <w:r w:rsidRPr="00321ACF">
              <w:rPr>
                <w:szCs w:val="22"/>
              </w:rPr>
              <w:t>reconnaître</w:t>
            </w:r>
            <w:proofErr w:type="spellEnd"/>
            <w:r w:rsidRPr="00321ACF">
              <w:rPr>
                <w:szCs w:val="22"/>
              </w:rPr>
              <w:t xml:space="preserve"> et gérer…</w:t>
            </w:r>
          </w:p>
          <w:p w14:paraId="3E282D5C"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interactions associées aux médicaments utilisés dans le traitement de l’angine stable;</w:t>
            </w:r>
          </w:p>
          <w:p w14:paraId="2660EE07"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effets secondaires aux médicaments utilisés dans le traitement de l’angine stable;</w:t>
            </w:r>
          </w:p>
          <w:p w14:paraId="6F984095" w14:textId="77777777" w:rsidR="00100447" w:rsidRPr="00321ACF" w:rsidRDefault="00100447" w:rsidP="00B95159">
            <w:pPr>
              <w:pStyle w:val="BouletNiveau1"/>
              <w:numPr>
                <w:ilvl w:val="0"/>
                <w:numId w:val="2"/>
              </w:numPr>
              <w:tabs>
                <w:tab w:val="num" w:pos="1134"/>
              </w:tabs>
              <w:ind w:left="1134" w:right="460" w:hanging="425"/>
              <w:rPr>
                <w:szCs w:val="22"/>
              </w:rPr>
            </w:pPr>
            <w:r w:rsidRPr="00321ACF">
              <w:rPr>
                <w:szCs w:val="22"/>
              </w:rPr>
              <w:t>les interactions associées aux médicaments utilisés dans le traitement d’un syndrome coronarien aigu;</w:t>
            </w:r>
          </w:p>
          <w:p w14:paraId="3EF27D41" w14:textId="77777777" w:rsidR="00100447" w:rsidRPr="00776C31" w:rsidRDefault="00100447" w:rsidP="00B95159">
            <w:pPr>
              <w:pStyle w:val="BouletNiveau1"/>
              <w:numPr>
                <w:ilvl w:val="0"/>
                <w:numId w:val="2"/>
              </w:numPr>
              <w:tabs>
                <w:tab w:val="num" w:pos="1134"/>
              </w:tabs>
              <w:ind w:left="1134" w:right="460" w:hanging="425"/>
            </w:pPr>
            <w:r w:rsidRPr="00321ACF">
              <w:rPr>
                <w:szCs w:val="22"/>
              </w:rPr>
              <w:t>les effets secondaires aux médicaments utilisés dans le traitement d’un syndrome coronarien aigu.</w:t>
            </w:r>
          </w:p>
        </w:tc>
      </w:tr>
    </w:tbl>
    <w:p w14:paraId="01843E2A" w14:textId="77777777" w:rsidR="00100447" w:rsidRPr="0041323C" w:rsidRDefault="00100447" w:rsidP="00100447"/>
    <w:p w14:paraId="495174D9" w14:textId="77777777" w:rsidR="00100447" w:rsidRDefault="00100447" w:rsidP="00100447">
      <w:pPr>
        <w:pStyle w:val="Titre2"/>
      </w:pPr>
      <w:bookmarkStart w:id="4" w:name="_Toc198948893"/>
      <w:r>
        <w:t>Préalables au cours</w:t>
      </w:r>
      <w:bookmarkEnd w:id="4"/>
    </w:p>
    <w:p w14:paraId="54FC8D63" w14:textId="77777777" w:rsidR="00100447" w:rsidRPr="00321ACF" w:rsidRDefault="00100447" w:rsidP="00100447">
      <w:pPr>
        <w:pStyle w:val="Titre3"/>
      </w:pPr>
      <w:r w:rsidRPr="00321ACF">
        <w:t>UA 1 - Troubles de la tension artérielle</w:t>
      </w:r>
    </w:p>
    <w:p w14:paraId="77C8EB20" w14:textId="77777777" w:rsidR="00100447" w:rsidRPr="00321ACF" w:rsidRDefault="00100447" w:rsidP="00100447">
      <w:pPr>
        <w:pStyle w:val="BouletNiveau1"/>
        <w:numPr>
          <w:ilvl w:val="0"/>
          <w:numId w:val="2"/>
        </w:numPr>
        <w:tabs>
          <w:tab w:val="num" w:pos="1134"/>
        </w:tabs>
        <w:ind w:left="1134" w:right="460" w:hanging="425"/>
        <w:rPr>
          <w:i/>
          <w:szCs w:val="22"/>
        </w:rPr>
      </w:pPr>
      <w:r w:rsidRPr="00321ACF">
        <w:rPr>
          <w:i/>
          <w:szCs w:val="22"/>
        </w:rPr>
        <w:t xml:space="preserve">Expliquer la pharmacologie des différentes classes d’agents antihypertenseurs : diurétiques, </w:t>
      </w:r>
      <w:proofErr w:type="spellStart"/>
      <w:r w:rsidRPr="00321ACF">
        <w:rPr>
          <w:i/>
          <w:szCs w:val="22"/>
        </w:rPr>
        <w:t>bêta-bloquants</w:t>
      </w:r>
      <w:proofErr w:type="spellEnd"/>
      <w:r w:rsidRPr="00321ACF">
        <w:rPr>
          <w:i/>
          <w:szCs w:val="22"/>
        </w:rPr>
        <w:t>, bloqueurs des canaux calciques, inhibiteurs de l’enzyme de conversion de l’angiotensine, ARA, inhibiteurs de la rénine.</w:t>
      </w:r>
      <w:r w:rsidRPr="00321ACF">
        <w:rPr>
          <w:i/>
          <w:szCs w:val="22"/>
        </w:rPr>
        <w:br/>
        <w:t>(Ajouter des références pour aider les étudiants)</w:t>
      </w:r>
    </w:p>
    <w:p w14:paraId="71F1147F" w14:textId="77777777" w:rsidR="00100447" w:rsidRPr="00321ACF" w:rsidRDefault="00100447" w:rsidP="00100447">
      <w:pPr>
        <w:pStyle w:val="BouletNiveau1"/>
        <w:numPr>
          <w:ilvl w:val="0"/>
          <w:numId w:val="2"/>
        </w:numPr>
        <w:tabs>
          <w:tab w:val="num" w:pos="1134"/>
        </w:tabs>
        <w:ind w:left="1134" w:right="460" w:hanging="425"/>
        <w:rPr>
          <w:i/>
          <w:szCs w:val="22"/>
        </w:rPr>
      </w:pPr>
      <w:proofErr w:type="spellStart"/>
      <w:r w:rsidRPr="00321ACF">
        <w:rPr>
          <w:i/>
          <w:szCs w:val="22"/>
        </w:rPr>
        <w:t>Reconnaître</w:t>
      </w:r>
      <w:proofErr w:type="spellEnd"/>
      <w:r w:rsidRPr="00321ACF">
        <w:rPr>
          <w:i/>
          <w:szCs w:val="22"/>
        </w:rPr>
        <w:t xml:space="preserve"> les médicaments, les maladies ou les comportements susceptibles de provoquer de l’hypertension artérielle;</w:t>
      </w:r>
    </w:p>
    <w:p w14:paraId="48AC3F4D" w14:textId="77777777" w:rsidR="00100447" w:rsidRPr="00321ACF" w:rsidRDefault="00100447" w:rsidP="00100447">
      <w:pPr>
        <w:pStyle w:val="Titre3"/>
      </w:pPr>
      <w:r w:rsidRPr="00321ACF">
        <w:t>UA 2 - Dyslipidémies et syndrome métabolique</w:t>
      </w:r>
    </w:p>
    <w:p w14:paraId="13054DDC" w14:textId="77777777" w:rsidR="00100447" w:rsidRPr="00321ACF" w:rsidRDefault="00100447" w:rsidP="00100447">
      <w:pPr>
        <w:pStyle w:val="BouletNiveau1"/>
        <w:numPr>
          <w:ilvl w:val="0"/>
          <w:numId w:val="2"/>
        </w:numPr>
        <w:tabs>
          <w:tab w:val="num" w:pos="1134"/>
        </w:tabs>
        <w:ind w:left="1134" w:right="460" w:hanging="425"/>
        <w:rPr>
          <w:i/>
          <w:szCs w:val="22"/>
        </w:rPr>
      </w:pPr>
      <w:r w:rsidRPr="00321ACF">
        <w:rPr>
          <w:i/>
          <w:szCs w:val="22"/>
        </w:rPr>
        <w:t>Énoncer sommairement l’approche diagnostique des dyslipidémies chez un patient.</w:t>
      </w:r>
    </w:p>
    <w:p w14:paraId="4D889F14" w14:textId="77777777" w:rsidR="00100447" w:rsidRPr="00321ACF" w:rsidRDefault="00100447" w:rsidP="00100447">
      <w:pPr>
        <w:pStyle w:val="BouletNiveau1"/>
        <w:tabs>
          <w:tab w:val="clear" w:pos="502"/>
          <w:tab w:val="num" w:pos="718"/>
        </w:tabs>
        <w:ind w:left="722" w:right="460"/>
        <w:rPr>
          <w:i/>
          <w:szCs w:val="22"/>
        </w:rPr>
      </w:pPr>
      <w:proofErr w:type="spellStart"/>
      <w:r w:rsidRPr="00321ACF">
        <w:rPr>
          <w:i/>
          <w:szCs w:val="22"/>
        </w:rPr>
        <w:t>Reconnaître</w:t>
      </w:r>
      <w:proofErr w:type="spellEnd"/>
      <w:r w:rsidRPr="00321ACF">
        <w:rPr>
          <w:i/>
          <w:szCs w:val="22"/>
        </w:rPr>
        <w:t>…</w:t>
      </w:r>
    </w:p>
    <w:p w14:paraId="0D4B97E9" w14:textId="77777777" w:rsidR="00100447" w:rsidRPr="00321ACF" w:rsidRDefault="00100447" w:rsidP="00100447">
      <w:pPr>
        <w:pStyle w:val="BouletNiveau1"/>
        <w:numPr>
          <w:ilvl w:val="0"/>
          <w:numId w:val="2"/>
        </w:numPr>
        <w:tabs>
          <w:tab w:val="num" w:pos="1134"/>
        </w:tabs>
        <w:ind w:left="1134" w:right="460" w:hanging="425"/>
        <w:rPr>
          <w:i/>
          <w:szCs w:val="22"/>
        </w:rPr>
      </w:pPr>
      <w:r w:rsidRPr="00321ACF">
        <w:rPr>
          <w:i/>
          <w:szCs w:val="22"/>
        </w:rPr>
        <w:t>les signes et symptômes caractéristiques des dyslipidémies;</w:t>
      </w:r>
    </w:p>
    <w:p w14:paraId="280F90B9" w14:textId="77777777" w:rsidR="00100447" w:rsidRPr="00117CBA" w:rsidRDefault="00100447" w:rsidP="00100447">
      <w:pPr>
        <w:pStyle w:val="BouletNiveau1"/>
        <w:numPr>
          <w:ilvl w:val="0"/>
          <w:numId w:val="2"/>
        </w:numPr>
        <w:tabs>
          <w:tab w:val="num" w:pos="1134"/>
        </w:tabs>
        <w:ind w:left="1134" w:right="460" w:hanging="425"/>
        <w:rPr>
          <w:i/>
          <w:szCs w:val="22"/>
        </w:rPr>
      </w:pPr>
      <w:r w:rsidRPr="00117CBA">
        <w:rPr>
          <w:i/>
          <w:szCs w:val="22"/>
        </w:rPr>
        <w:t>les principales étiologies et facteurs de risque de dyslipidémies.</w:t>
      </w:r>
    </w:p>
    <w:p w14:paraId="782FE331" w14:textId="77777777" w:rsidR="00100447" w:rsidRPr="00321ACF" w:rsidRDefault="00100447" w:rsidP="00100447">
      <w:pPr>
        <w:pStyle w:val="BouletNiveau1"/>
        <w:numPr>
          <w:ilvl w:val="0"/>
          <w:numId w:val="2"/>
        </w:numPr>
        <w:tabs>
          <w:tab w:val="num" w:pos="1134"/>
        </w:tabs>
        <w:ind w:left="1134" w:right="460" w:hanging="425"/>
        <w:rPr>
          <w:i/>
          <w:szCs w:val="22"/>
        </w:rPr>
      </w:pPr>
      <w:r w:rsidRPr="00321ACF">
        <w:rPr>
          <w:i/>
          <w:szCs w:val="22"/>
        </w:rPr>
        <w:t>les médicaments, les maladies ou les comportements susceptibles de provoquer une dyslipidémie;</w:t>
      </w:r>
    </w:p>
    <w:p w14:paraId="602BD4C5" w14:textId="77777777" w:rsidR="00100447" w:rsidRPr="00321ACF" w:rsidRDefault="00100447" w:rsidP="00100447">
      <w:pPr>
        <w:pStyle w:val="BouletNiveau1"/>
        <w:numPr>
          <w:ilvl w:val="0"/>
          <w:numId w:val="2"/>
        </w:numPr>
        <w:tabs>
          <w:tab w:val="num" w:pos="1134"/>
        </w:tabs>
        <w:ind w:left="1134" w:right="460" w:hanging="425"/>
        <w:rPr>
          <w:i/>
          <w:szCs w:val="22"/>
        </w:rPr>
      </w:pPr>
      <w:r w:rsidRPr="00321ACF">
        <w:rPr>
          <w:i/>
          <w:szCs w:val="22"/>
        </w:rPr>
        <w:t xml:space="preserve">les contre-indications à l’utilisation d’une thérapie </w:t>
      </w:r>
      <w:proofErr w:type="spellStart"/>
      <w:r w:rsidRPr="00321ACF">
        <w:rPr>
          <w:i/>
          <w:szCs w:val="22"/>
        </w:rPr>
        <w:t>hypolipémiante</w:t>
      </w:r>
      <w:proofErr w:type="spellEnd"/>
      <w:r w:rsidRPr="00321ACF">
        <w:rPr>
          <w:i/>
          <w:szCs w:val="22"/>
        </w:rPr>
        <w:t xml:space="preserve">. </w:t>
      </w:r>
    </w:p>
    <w:p w14:paraId="0C8E8115" w14:textId="77777777" w:rsidR="00100447" w:rsidRPr="00AE5833" w:rsidRDefault="00100447" w:rsidP="00100447">
      <w:pPr>
        <w:rPr>
          <w:lang w:val="fr-CA"/>
        </w:rPr>
      </w:pPr>
    </w:p>
    <w:p w14:paraId="51FAAB3D" w14:textId="77777777" w:rsidR="00100447" w:rsidRDefault="00100447" w:rsidP="00100447">
      <w:pPr>
        <w:pStyle w:val="Titre2"/>
      </w:pPr>
      <w:bookmarkStart w:id="5" w:name="_Toc198948894"/>
      <w:r>
        <w:t>Contenu du cours</w:t>
      </w:r>
      <w:bookmarkEnd w:id="5"/>
    </w:p>
    <w:p w14:paraId="18882E3C" w14:textId="77777777" w:rsidR="00100447" w:rsidRDefault="00100447" w:rsidP="00100447">
      <w:pPr>
        <w:spacing w:before="100" w:beforeAutospacing="1" w:after="100" w:afterAutospacing="1"/>
        <w:rPr>
          <w:rFonts w:ascii="Trebuchet MS" w:hAnsi="Trebuchet MS" w:cs="Arial"/>
          <w:sz w:val="22"/>
          <w:szCs w:val="22"/>
          <w:lang w:val="fr-CA"/>
        </w:rPr>
      </w:pPr>
      <w:r w:rsidRPr="00AE5833">
        <w:rPr>
          <w:rFonts w:ascii="Trebuchet MS" w:hAnsi="Trebuchet MS" w:cs="Arial"/>
          <w:sz w:val="22"/>
          <w:szCs w:val="22"/>
          <w:lang w:val="fr-CA"/>
        </w:rPr>
        <w:t xml:space="preserve">Le contenu du cours porte sur les activités propres à l’intégration </w:t>
      </w:r>
      <w:r>
        <w:rPr>
          <w:rFonts w:ascii="Trebuchet MS" w:hAnsi="Trebuchet MS" w:cs="Arial"/>
          <w:sz w:val="22"/>
          <w:szCs w:val="22"/>
          <w:lang w:val="fr-CA"/>
        </w:rPr>
        <w:t>des connaissances, des techniques de communication, d’analyse et de suivi.</w:t>
      </w:r>
    </w:p>
    <w:p w14:paraId="3B627CED" w14:textId="77777777" w:rsidR="00100447" w:rsidRPr="00AE5833" w:rsidRDefault="00100447" w:rsidP="00100447">
      <w:pPr>
        <w:spacing w:before="100" w:beforeAutospacing="1" w:after="100" w:afterAutospacing="1"/>
        <w:rPr>
          <w:rFonts w:ascii="Trebuchet MS" w:hAnsi="Trebuchet MS" w:cs="Times New Roman"/>
          <w:sz w:val="22"/>
          <w:szCs w:val="22"/>
          <w:lang w:val="fr-CA"/>
        </w:rPr>
      </w:pPr>
      <w:r w:rsidRPr="00AE5833">
        <w:rPr>
          <w:rFonts w:ascii="Trebuchet MS" w:hAnsi="Trebuchet MS" w:cs="Arial"/>
          <w:sz w:val="22"/>
          <w:szCs w:val="22"/>
          <w:lang w:val="fr-CA"/>
        </w:rPr>
        <w:t xml:space="preserve"> Le contenu est divisé en </w:t>
      </w:r>
      <w:r>
        <w:rPr>
          <w:rFonts w:ascii="Trebuchet MS" w:hAnsi="Trebuchet MS" w:cs="Arial"/>
          <w:sz w:val="22"/>
          <w:szCs w:val="22"/>
          <w:lang w:val="fr-CA"/>
        </w:rPr>
        <w:t>UA</w:t>
      </w:r>
      <w:r w:rsidRPr="00AE5833">
        <w:rPr>
          <w:rFonts w:ascii="Trebuchet MS" w:hAnsi="Trebuchet MS" w:cs="Arial"/>
          <w:sz w:val="22"/>
          <w:szCs w:val="22"/>
          <w:lang w:val="fr-CA"/>
        </w:rPr>
        <w:t>:</w:t>
      </w:r>
    </w:p>
    <w:p w14:paraId="4C5F74BA" w14:textId="77777777" w:rsidR="00100447" w:rsidRDefault="00100447" w:rsidP="00100447">
      <w:pPr>
        <w:pStyle w:val="Paragraphedeliste"/>
        <w:numPr>
          <w:ilvl w:val="0"/>
          <w:numId w:val="5"/>
        </w:numPr>
        <w:spacing w:before="100" w:beforeAutospacing="1" w:after="100" w:afterAutospacing="1"/>
        <w:rPr>
          <w:rFonts w:ascii="Trebuchet MS" w:hAnsi="Trebuchet MS" w:cs="Arial"/>
          <w:sz w:val="22"/>
          <w:szCs w:val="22"/>
          <w:lang w:val="fr-CA"/>
        </w:rPr>
      </w:pPr>
      <w:r w:rsidRPr="00043286">
        <w:rPr>
          <w:rFonts w:ascii="Trebuchet MS" w:hAnsi="Trebuchet MS" w:cs="Arial"/>
          <w:sz w:val="22"/>
          <w:szCs w:val="22"/>
          <w:lang w:val="fr-CA"/>
        </w:rPr>
        <w:t xml:space="preserve">UA 1 : Troubles de la tension artérielle.  Il y aura 2 cas : Mme Jeannette Michel et M. Paul </w:t>
      </w:r>
      <w:proofErr w:type="spellStart"/>
      <w:r w:rsidRPr="00043286">
        <w:rPr>
          <w:rFonts w:ascii="Trebuchet MS" w:hAnsi="Trebuchet MS" w:cs="Arial"/>
          <w:sz w:val="22"/>
          <w:szCs w:val="22"/>
          <w:lang w:val="fr-CA"/>
        </w:rPr>
        <w:t>Badras</w:t>
      </w:r>
      <w:proofErr w:type="spellEnd"/>
      <w:r w:rsidRPr="00043286">
        <w:rPr>
          <w:rFonts w:ascii="Trebuchet MS" w:hAnsi="Trebuchet MS" w:cs="Arial"/>
          <w:sz w:val="22"/>
          <w:szCs w:val="22"/>
          <w:lang w:val="fr-CA"/>
        </w:rPr>
        <w:t>, permettront d’intégrer l’ensemble des apprentissages par rapport au tr</w:t>
      </w:r>
      <w:r>
        <w:rPr>
          <w:rFonts w:ascii="Trebuchet MS" w:hAnsi="Trebuchet MS" w:cs="Arial"/>
          <w:sz w:val="22"/>
          <w:szCs w:val="22"/>
          <w:lang w:val="fr-CA"/>
        </w:rPr>
        <w:t xml:space="preserve">ouble de la tension artérielle. </w:t>
      </w:r>
    </w:p>
    <w:p w14:paraId="050DDB3E" w14:textId="77777777" w:rsidR="00100447" w:rsidRDefault="00100447" w:rsidP="00100447">
      <w:pPr>
        <w:pStyle w:val="Paragraphedeliste"/>
        <w:spacing w:before="100" w:beforeAutospacing="1" w:after="100" w:afterAutospacing="1"/>
        <w:ind w:left="375"/>
        <w:rPr>
          <w:rFonts w:ascii="Trebuchet MS" w:hAnsi="Trebuchet MS" w:cs="Arial"/>
          <w:sz w:val="22"/>
          <w:szCs w:val="22"/>
          <w:lang w:val="fr-CA"/>
        </w:rPr>
      </w:pPr>
    </w:p>
    <w:p w14:paraId="7FA07A90" w14:textId="77777777" w:rsidR="00100447" w:rsidRPr="00043286" w:rsidRDefault="00100447" w:rsidP="00100447">
      <w:pPr>
        <w:pStyle w:val="Paragraphedeliste"/>
        <w:numPr>
          <w:ilvl w:val="0"/>
          <w:numId w:val="5"/>
        </w:numPr>
        <w:spacing w:before="100" w:beforeAutospacing="1" w:after="100" w:afterAutospacing="1"/>
        <w:rPr>
          <w:rFonts w:ascii="Trebuchet MS" w:hAnsi="Trebuchet MS" w:cs="Arial"/>
          <w:sz w:val="22"/>
          <w:szCs w:val="22"/>
          <w:lang w:val="fr-CA"/>
        </w:rPr>
      </w:pPr>
      <w:r w:rsidRPr="00043286">
        <w:rPr>
          <w:rFonts w:ascii="Trebuchet MS" w:hAnsi="Trebuchet MS" w:cs="Arial"/>
          <w:sz w:val="22"/>
          <w:szCs w:val="22"/>
          <w:lang w:val="fr-CA"/>
        </w:rPr>
        <w:t>UA 2 : Dyslipidémie et syndrome métabolique.</w:t>
      </w:r>
    </w:p>
    <w:p w14:paraId="4A8AEA7C" w14:textId="77777777" w:rsidR="00100447" w:rsidRPr="00043286" w:rsidRDefault="00100447" w:rsidP="00100447">
      <w:pPr>
        <w:pStyle w:val="Paragraphedeliste"/>
        <w:numPr>
          <w:ilvl w:val="0"/>
          <w:numId w:val="5"/>
        </w:numPr>
        <w:spacing w:before="100" w:beforeAutospacing="1" w:after="100" w:afterAutospacing="1"/>
        <w:rPr>
          <w:rFonts w:ascii="Trebuchet MS" w:hAnsi="Trebuchet MS" w:cs="Times New Roman"/>
          <w:sz w:val="22"/>
          <w:szCs w:val="22"/>
          <w:lang w:val="fr-CA"/>
        </w:rPr>
      </w:pPr>
      <w:r>
        <w:rPr>
          <w:rFonts w:ascii="Trebuchet MS" w:hAnsi="Trebuchet MS" w:cs="Arial"/>
          <w:sz w:val="22"/>
          <w:szCs w:val="22"/>
          <w:lang w:val="fr-CA"/>
        </w:rPr>
        <w:t>UA 3 : Maladie coronarienne</w:t>
      </w:r>
    </w:p>
    <w:p w14:paraId="4E5280C5" w14:textId="77777777" w:rsidR="00100447" w:rsidRPr="003B7C3F" w:rsidRDefault="00100447" w:rsidP="00100447">
      <w:pPr>
        <w:pStyle w:val="Paragraphedeliste"/>
        <w:numPr>
          <w:ilvl w:val="0"/>
          <w:numId w:val="5"/>
        </w:numPr>
        <w:spacing w:before="100" w:beforeAutospacing="1" w:after="100" w:afterAutospacing="1"/>
        <w:rPr>
          <w:lang w:val="fr-CA"/>
        </w:rPr>
      </w:pPr>
      <w:r w:rsidRPr="00043286">
        <w:rPr>
          <w:rFonts w:ascii="Trebuchet MS" w:hAnsi="Trebuchet MS" w:cs="Arial"/>
          <w:sz w:val="22"/>
          <w:szCs w:val="22"/>
          <w:lang w:val="fr-CA"/>
        </w:rPr>
        <w:t>Évaluation formative. Cette évaluation vous permettra d’évaluer votre progression et votre atteinte des objectifs du cours.</w:t>
      </w:r>
    </w:p>
    <w:p w14:paraId="4E22EAB8" w14:textId="77777777" w:rsidR="00100447" w:rsidRPr="00043286" w:rsidRDefault="00100447" w:rsidP="00100447">
      <w:pPr>
        <w:pStyle w:val="Paragraphedeliste"/>
        <w:numPr>
          <w:ilvl w:val="0"/>
          <w:numId w:val="5"/>
        </w:numPr>
        <w:spacing w:before="100" w:beforeAutospacing="1" w:after="100" w:afterAutospacing="1"/>
        <w:rPr>
          <w:lang w:val="fr-CA"/>
        </w:rPr>
      </w:pPr>
      <w:r>
        <w:rPr>
          <w:rFonts w:ascii="Trebuchet MS" w:hAnsi="Trebuchet MS" w:cs="Arial"/>
          <w:sz w:val="22"/>
          <w:szCs w:val="22"/>
          <w:lang w:val="fr-CA"/>
        </w:rPr>
        <w:t xml:space="preserve">Activité synthèse : activité en classe virtuelle avec la présence de l’enseignant pour répondre à vos questions. </w:t>
      </w:r>
    </w:p>
    <w:p w14:paraId="2C9376ED" w14:textId="77777777" w:rsidR="00100447" w:rsidRPr="00AE5833" w:rsidRDefault="00100447" w:rsidP="00100447">
      <w:pPr>
        <w:pStyle w:val="Paragraphedeliste"/>
        <w:spacing w:before="100" w:beforeAutospacing="1" w:after="100" w:afterAutospacing="1"/>
        <w:ind w:left="375"/>
        <w:rPr>
          <w:lang w:val="fr-CA"/>
        </w:rPr>
      </w:pPr>
      <w:r w:rsidRPr="00043286">
        <w:rPr>
          <w:lang w:val="fr-CA"/>
        </w:rPr>
        <w:t xml:space="preserve"> </w:t>
      </w:r>
    </w:p>
    <w:p w14:paraId="30463306" w14:textId="77777777" w:rsidR="00100447" w:rsidRDefault="00100447" w:rsidP="00100447">
      <w:pPr>
        <w:pStyle w:val="Titre2"/>
        <w:rPr>
          <w:rStyle w:val="lev"/>
          <w:rFonts w:eastAsia="Times New Roman" w:cs="Arial"/>
          <w:b/>
        </w:rPr>
      </w:pPr>
      <w:bookmarkStart w:id="6" w:name="_Toc198948895"/>
      <w:r w:rsidRPr="0087738C">
        <w:rPr>
          <w:rStyle w:val="lev"/>
          <w:rFonts w:eastAsia="Times New Roman" w:cs="Arial"/>
          <w:b/>
        </w:rPr>
        <w:t>Démarche d'apprentissage</w:t>
      </w:r>
      <w:bookmarkStart w:id="7" w:name="_Toc198948896"/>
      <w:bookmarkEnd w:id="6"/>
    </w:p>
    <w:p w14:paraId="10202741" w14:textId="77777777" w:rsidR="00100447" w:rsidRPr="00043286" w:rsidRDefault="00100447" w:rsidP="00100447">
      <w:pPr>
        <w:spacing w:before="100" w:beforeAutospacing="1" w:after="100" w:afterAutospacing="1"/>
        <w:rPr>
          <w:rFonts w:ascii="Trebuchet MS" w:hAnsi="Trebuchet MS" w:cs="Times New Roman"/>
          <w:sz w:val="22"/>
          <w:szCs w:val="22"/>
          <w:lang w:val="fr-CA"/>
        </w:rPr>
      </w:pPr>
      <w:r w:rsidRPr="00043286">
        <w:rPr>
          <w:rFonts w:ascii="Trebuchet MS" w:hAnsi="Trebuchet MS" w:cs="Arial"/>
          <w:i/>
          <w:iCs/>
          <w:sz w:val="22"/>
          <w:szCs w:val="22"/>
          <w:lang w:val="fr-CA"/>
        </w:rPr>
        <w:t>Temps consacré aux éléments du cours</w:t>
      </w:r>
      <w:r w:rsidRPr="00043286">
        <w:rPr>
          <w:rFonts w:ascii="Trebuchet MS" w:hAnsi="Trebuchet MS" w:cs="Arial"/>
          <w:i/>
          <w:iCs/>
          <w:sz w:val="22"/>
          <w:szCs w:val="22"/>
          <w:lang w:val="fr-CA"/>
        </w:rPr>
        <w:br/>
      </w:r>
      <w:r w:rsidRPr="00043286">
        <w:rPr>
          <w:rFonts w:ascii="Trebuchet MS" w:hAnsi="Trebuchet MS" w:cs="Arial"/>
          <w:sz w:val="22"/>
          <w:szCs w:val="22"/>
          <w:lang w:val="fr-CA"/>
        </w:rPr>
        <w:br/>
      </w:r>
      <w:r>
        <w:rPr>
          <w:rFonts w:ascii="Trebuchet MS" w:hAnsi="Trebuchet MS" w:cs="Arial"/>
          <w:sz w:val="22"/>
          <w:szCs w:val="22"/>
          <w:lang w:val="fr-CA"/>
        </w:rPr>
        <w:t>Ce cours est en ligne. Il faut donc une certaine discipline personnelle et un niveau d’autonomie pour réussir. Ce cours de 1 crédit équivaut à 45 heures de travail qu’il faut investir pour atteindre les objectifs</w:t>
      </w:r>
      <w:proofErr w:type="gramStart"/>
      <w:r>
        <w:rPr>
          <w:rFonts w:ascii="Trebuchet MS" w:hAnsi="Trebuchet MS" w:cs="Arial"/>
          <w:sz w:val="22"/>
          <w:szCs w:val="22"/>
          <w:lang w:val="fr-CA"/>
        </w:rPr>
        <w:t>.</w:t>
      </w:r>
      <w:r w:rsidRPr="00043286">
        <w:rPr>
          <w:rFonts w:ascii="Trebuchet MS" w:hAnsi="Trebuchet MS" w:cs="Arial"/>
          <w:sz w:val="22"/>
          <w:szCs w:val="22"/>
          <w:lang w:val="fr-CA"/>
        </w:rPr>
        <w:t>.</w:t>
      </w:r>
      <w:proofErr w:type="gramEnd"/>
      <w:r w:rsidRPr="00043286">
        <w:rPr>
          <w:rFonts w:ascii="Trebuchet MS" w:hAnsi="Trebuchet MS" w:cs="Arial"/>
          <w:sz w:val="22"/>
          <w:szCs w:val="22"/>
          <w:lang w:val="fr-CA"/>
        </w:rPr>
        <w:br/>
      </w:r>
      <w:r w:rsidRPr="00043286">
        <w:rPr>
          <w:rFonts w:ascii="Trebuchet MS" w:hAnsi="Trebuchet MS" w:cs="Arial"/>
          <w:sz w:val="22"/>
          <w:szCs w:val="22"/>
          <w:lang w:val="fr-CA"/>
        </w:rPr>
        <w:br/>
        <w:t xml:space="preserve">Voici un résumé du temps approximatif que vous devriez, à notre avis, consacrer à chacun des éléments du cours. </w:t>
      </w:r>
    </w:p>
    <w:tbl>
      <w:tblPr>
        <w:tblW w:w="8055" w:type="dxa"/>
        <w:tblCellSpacing w:w="15" w:type="dxa"/>
        <w:tblCellMar>
          <w:top w:w="15" w:type="dxa"/>
          <w:left w:w="15" w:type="dxa"/>
          <w:bottom w:w="15" w:type="dxa"/>
          <w:right w:w="15" w:type="dxa"/>
        </w:tblCellMar>
        <w:tblLook w:val="04A0" w:firstRow="1" w:lastRow="0" w:firstColumn="1" w:lastColumn="0" w:noHBand="0" w:noVBand="1"/>
      </w:tblPr>
      <w:tblGrid>
        <w:gridCol w:w="5700"/>
        <w:gridCol w:w="2355"/>
      </w:tblGrid>
      <w:tr w:rsidR="00100447" w:rsidRPr="00043286" w14:paraId="2D04B0BA" w14:textId="77777777" w:rsidTr="00B95159">
        <w:trPr>
          <w:tblCellSpacing w:w="15" w:type="dxa"/>
        </w:trPr>
        <w:tc>
          <w:tcPr>
            <w:tcW w:w="0" w:type="auto"/>
            <w:vAlign w:val="center"/>
            <w:hideMark/>
          </w:tcPr>
          <w:p w14:paraId="3C8E9353" w14:textId="77777777" w:rsidR="00100447" w:rsidRPr="00043286" w:rsidRDefault="00100447" w:rsidP="00B95159">
            <w:pPr>
              <w:jc w:val="center"/>
              <w:rPr>
                <w:rFonts w:ascii="Trebuchet MS" w:eastAsia="Times New Roman" w:hAnsi="Trebuchet MS" w:cs="Times New Roman"/>
                <w:b/>
                <w:bCs/>
                <w:sz w:val="22"/>
                <w:szCs w:val="22"/>
                <w:lang w:val="fr-CA"/>
              </w:rPr>
            </w:pPr>
            <w:r w:rsidRPr="00043286">
              <w:rPr>
                <w:rFonts w:ascii="Trebuchet MS" w:eastAsia="Times New Roman" w:hAnsi="Trebuchet MS" w:cs="Times New Roman"/>
                <w:b/>
                <w:bCs/>
                <w:sz w:val="22"/>
                <w:szCs w:val="22"/>
                <w:lang w:val="fr-CA"/>
              </w:rPr>
              <w:t>Éléments du cours</w:t>
            </w:r>
          </w:p>
        </w:tc>
        <w:tc>
          <w:tcPr>
            <w:tcW w:w="0" w:type="auto"/>
            <w:vAlign w:val="center"/>
            <w:hideMark/>
          </w:tcPr>
          <w:p w14:paraId="44B69F29" w14:textId="77777777" w:rsidR="00100447" w:rsidRPr="00043286" w:rsidRDefault="00100447" w:rsidP="00B95159">
            <w:pPr>
              <w:jc w:val="center"/>
              <w:rPr>
                <w:rFonts w:ascii="Trebuchet MS" w:eastAsia="Times New Roman" w:hAnsi="Trebuchet MS" w:cs="Times New Roman"/>
                <w:b/>
                <w:bCs/>
                <w:sz w:val="22"/>
                <w:szCs w:val="22"/>
                <w:lang w:val="fr-CA"/>
              </w:rPr>
            </w:pPr>
            <w:r w:rsidRPr="00043286">
              <w:rPr>
                <w:rFonts w:ascii="Trebuchet MS" w:eastAsia="Times New Roman" w:hAnsi="Trebuchet MS" w:cs="Times New Roman"/>
                <w:b/>
                <w:bCs/>
                <w:sz w:val="22"/>
                <w:szCs w:val="22"/>
                <w:lang w:val="fr-CA"/>
              </w:rPr>
              <w:t>Temps alloué</w:t>
            </w:r>
          </w:p>
        </w:tc>
      </w:tr>
      <w:tr w:rsidR="00100447" w:rsidRPr="00043286" w14:paraId="7FE8C63E" w14:textId="77777777" w:rsidTr="00B95159">
        <w:trPr>
          <w:tblCellSpacing w:w="15" w:type="dxa"/>
        </w:trPr>
        <w:tc>
          <w:tcPr>
            <w:tcW w:w="3510" w:type="pct"/>
            <w:tcBorders>
              <w:top w:val="single" w:sz="6" w:space="0" w:color="auto"/>
              <w:left w:val="single" w:sz="6" w:space="0" w:color="auto"/>
              <w:bottom w:val="single" w:sz="6" w:space="0" w:color="auto"/>
              <w:right w:val="single" w:sz="6" w:space="0" w:color="auto"/>
            </w:tcBorders>
            <w:vAlign w:val="center"/>
            <w:hideMark/>
          </w:tcPr>
          <w:p w14:paraId="27FC9854" w14:textId="77777777" w:rsidR="00100447" w:rsidRPr="00043286" w:rsidRDefault="00100447" w:rsidP="00B95159">
            <w:pPr>
              <w:rPr>
                <w:rFonts w:ascii="Trebuchet MS" w:eastAsia="Times New Roman" w:hAnsi="Trebuchet MS" w:cs="Times New Roman"/>
                <w:sz w:val="22"/>
                <w:szCs w:val="22"/>
                <w:lang w:val="fr-CA"/>
              </w:rPr>
            </w:pPr>
            <w:r>
              <w:rPr>
                <w:rFonts w:ascii="Trebuchet MS" w:eastAsia="Times New Roman" w:hAnsi="Trebuchet MS" w:cs="Arial"/>
                <w:sz w:val="22"/>
                <w:szCs w:val="22"/>
                <w:lang w:val="fr-CA"/>
              </w:rPr>
              <w:t>Présentation du cours</w:t>
            </w:r>
          </w:p>
        </w:tc>
        <w:tc>
          <w:tcPr>
            <w:tcW w:w="1434" w:type="pct"/>
            <w:tcBorders>
              <w:top w:val="single" w:sz="6" w:space="0" w:color="auto"/>
              <w:left w:val="single" w:sz="6" w:space="0" w:color="auto"/>
              <w:bottom w:val="single" w:sz="6" w:space="0" w:color="auto"/>
              <w:right w:val="single" w:sz="6" w:space="0" w:color="auto"/>
            </w:tcBorders>
            <w:vAlign w:val="center"/>
            <w:hideMark/>
          </w:tcPr>
          <w:p w14:paraId="206C904E" w14:textId="4246E296" w:rsidR="00100447" w:rsidRPr="00043286" w:rsidRDefault="00F80440" w:rsidP="00B95159">
            <w:pPr>
              <w:jc w:val="right"/>
              <w:rPr>
                <w:rFonts w:ascii="Trebuchet MS" w:eastAsia="Times New Roman" w:hAnsi="Trebuchet MS" w:cs="Times New Roman"/>
                <w:sz w:val="22"/>
                <w:szCs w:val="22"/>
                <w:lang w:val="fr-CA"/>
              </w:rPr>
            </w:pPr>
            <w:r>
              <w:rPr>
                <w:rFonts w:ascii="Trebuchet MS" w:eastAsia="Times New Roman" w:hAnsi="Trebuchet MS" w:cs="Arial"/>
                <w:sz w:val="22"/>
                <w:szCs w:val="22"/>
                <w:lang w:val="fr-CA"/>
              </w:rPr>
              <w:t>1</w:t>
            </w:r>
            <w:r w:rsidR="00100447">
              <w:rPr>
                <w:rFonts w:ascii="Trebuchet MS" w:eastAsia="Times New Roman" w:hAnsi="Trebuchet MS" w:cs="Arial"/>
                <w:sz w:val="22"/>
                <w:szCs w:val="22"/>
                <w:lang w:val="fr-CA"/>
              </w:rPr>
              <w:t xml:space="preserve"> heure</w:t>
            </w:r>
          </w:p>
        </w:tc>
      </w:tr>
      <w:tr w:rsidR="00100447" w:rsidRPr="00043286" w14:paraId="41F8508B" w14:textId="77777777" w:rsidTr="00B95159">
        <w:trPr>
          <w:tblCellSpacing w:w="15" w:type="dxa"/>
        </w:trPr>
        <w:tc>
          <w:tcPr>
            <w:tcW w:w="3510" w:type="pct"/>
            <w:tcBorders>
              <w:top w:val="single" w:sz="6" w:space="0" w:color="auto"/>
              <w:left w:val="single" w:sz="6" w:space="0" w:color="auto"/>
              <w:bottom w:val="single" w:sz="6" w:space="0" w:color="auto"/>
              <w:right w:val="single" w:sz="6" w:space="0" w:color="auto"/>
            </w:tcBorders>
            <w:vAlign w:val="center"/>
            <w:hideMark/>
          </w:tcPr>
          <w:p w14:paraId="200A246C" w14:textId="77777777" w:rsidR="00100447" w:rsidRPr="00043286" w:rsidRDefault="00100447" w:rsidP="00B95159">
            <w:pPr>
              <w:rPr>
                <w:rFonts w:ascii="Trebuchet MS" w:eastAsia="Times New Roman" w:hAnsi="Trebuchet MS" w:cs="Times New Roman"/>
                <w:sz w:val="22"/>
                <w:szCs w:val="22"/>
                <w:lang w:val="fr-CA"/>
              </w:rPr>
            </w:pPr>
            <w:r w:rsidRPr="00043286">
              <w:rPr>
                <w:rFonts w:ascii="Trebuchet MS" w:eastAsia="Times New Roman" w:hAnsi="Trebuchet MS" w:cs="Arial"/>
                <w:sz w:val="22"/>
                <w:szCs w:val="22"/>
                <w:lang w:val="fr-CA"/>
              </w:rPr>
              <w:t xml:space="preserve">1. </w:t>
            </w:r>
            <w:r>
              <w:rPr>
                <w:rFonts w:ascii="Trebuchet MS" w:eastAsia="Times New Roman" w:hAnsi="Trebuchet MS" w:cs="Arial"/>
                <w:sz w:val="22"/>
                <w:szCs w:val="22"/>
                <w:lang w:val="fr-CA"/>
              </w:rPr>
              <w:t>UA1 : Troubles de la tension artérielle</w:t>
            </w:r>
          </w:p>
        </w:tc>
        <w:tc>
          <w:tcPr>
            <w:tcW w:w="1434" w:type="pct"/>
            <w:tcBorders>
              <w:top w:val="single" w:sz="6" w:space="0" w:color="auto"/>
              <w:left w:val="single" w:sz="6" w:space="0" w:color="auto"/>
              <w:bottom w:val="single" w:sz="6" w:space="0" w:color="auto"/>
              <w:right w:val="single" w:sz="6" w:space="0" w:color="auto"/>
            </w:tcBorders>
            <w:vAlign w:val="center"/>
            <w:hideMark/>
          </w:tcPr>
          <w:p w14:paraId="40240C4A" w14:textId="4C9C96FA" w:rsidR="00100447" w:rsidRPr="00043286" w:rsidRDefault="00B95159" w:rsidP="00B95159">
            <w:pPr>
              <w:jc w:val="right"/>
              <w:rPr>
                <w:rFonts w:ascii="Trebuchet MS" w:eastAsia="Times New Roman" w:hAnsi="Trebuchet MS" w:cs="Times New Roman"/>
                <w:sz w:val="22"/>
                <w:szCs w:val="22"/>
                <w:lang w:val="fr-CA"/>
              </w:rPr>
            </w:pPr>
            <w:r>
              <w:rPr>
                <w:rFonts w:ascii="Trebuchet MS" w:eastAsia="Times New Roman" w:hAnsi="Trebuchet MS" w:cs="Arial"/>
                <w:sz w:val="22"/>
                <w:szCs w:val="22"/>
                <w:lang w:val="fr-CA"/>
              </w:rPr>
              <w:t>10</w:t>
            </w:r>
            <w:r w:rsidR="00100447">
              <w:rPr>
                <w:rFonts w:ascii="Trebuchet MS" w:eastAsia="Times New Roman" w:hAnsi="Trebuchet MS" w:cs="Arial"/>
                <w:sz w:val="22"/>
                <w:szCs w:val="22"/>
                <w:lang w:val="fr-CA"/>
              </w:rPr>
              <w:t xml:space="preserve"> </w:t>
            </w:r>
            <w:r w:rsidR="00100447" w:rsidRPr="00043286">
              <w:rPr>
                <w:rFonts w:ascii="Trebuchet MS" w:eastAsia="Times New Roman" w:hAnsi="Trebuchet MS" w:cs="Arial"/>
                <w:sz w:val="22"/>
                <w:szCs w:val="22"/>
                <w:lang w:val="fr-CA"/>
              </w:rPr>
              <w:t>heures</w:t>
            </w:r>
          </w:p>
        </w:tc>
      </w:tr>
      <w:tr w:rsidR="00100447" w:rsidRPr="00043286" w14:paraId="2CA63D8E" w14:textId="77777777" w:rsidTr="00B95159">
        <w:trPr>
          <w:tblCellSpacing w:w="15" w:type="dxa"/>
        </w:trPr>
        <w:tc>
          <w:tcPr>
            <w:tcW w:w="3510" w:type="pct"/>
            <w:tcBorders>
              <w:top w:val="single" w:sz="6" w:space="0" w:color="auto"/>
              <w:left w:val="single" w:sz="6" w:space="0" w:color="auto"/>
              <w:bottom w:val="single" w:sz="6" w:space="0" w:color="auto"/>
              <w:right w:val="single" w:sz="6" w:space="0" w:color="auto"/>
            </w:tcBorders>
            <w:vAlign w:val="center"/>
            <w:hideMark/>
          </w:tcPr>
          <w:p w14:paraId="6E36C048" w14:textId="77777777" w:rsidR="00100447" w:rsidRPr="00043286" w:rsidRDefault="00100447" w:rsidP="00B95159">
            <w:pPr>
              <w:rPr>
                <w:rFonts w:ascii="Trebuchet MS" w:eastAsia="Times New Roman" w:hAnsi="Trebuchet MS" w:cs="Times New Roman"/>
                <w:sz w:val="22"/>
                <w:szCs w:val="22"/>
                <w:lang w:val="fr-CA"/>
              </w:rPr>
            </w:pPr>
            <w:r w:rsidRPr="00043286">
              <w:rPr>
                <w:rFonts w:ascii="Trebuchet MS" w:eastAsia="Times New Roman" w:hAnsi="Trebuchet MS" w:cs="Arial"/>
                <w:sz w:val="22"/>
                <w:szCs w:val="22"/>
                <w:lang w:val="fr-CA"/>
              </w:rPr>
              <w:t xml:space="preserve">2. </w:t>
            </w:r>
            <w:r>
              <w:rPr>
                <w:rFonts w:ascii="Trebuchet MS" w:eastAsia="Times New Roman" w:hAnsi="Trebuchet MS" w:cs="Arial"/>
                <w:sz w:val="22"/>
                <w:szCs w:val="22"/>
                <w:lang w:val="fr-CA"/>
              </w:rPr>
              <w:t>UA2 : Dyslipidémie et syndrome métabolique</w:t>
            </w:r>
          </w:p>
        </w:tc>
        <w:tc>
          <w:tcPr>
            <w:tcW w:w="1434" w:type="pct"/>
            <w:tcBorders>
              <w:top w:val="single" w:sz="6" w:space="0" w:color="auto"/>
              <w:left w:val="single" w:sz="6" w:space="0" w:color="auto"/>
              <w:bottom w:val="single" w:sz="6" w:space="0" w:color="auto"/>
              <w:right w:val="single" w:sz="6" w:space="0" w:color="auto"/>
            </w:tcBorders>
            <w:vAlign w:val="center"/>
            <w:hideMark/>
          </w:tcPr>
          <w:p w14:paraId="457B778D" w14:textId="2F56422B" w:rsidR="00100447" w:rsidRPr="00043286" w:rsidRDefault="00F80440" w:rsidP="00B95159">
            <w:pPr>
              <w:jc w:val="right"/>
              <w:rPr>
                <w:rFonts w:ascii="Trebuchet MS" w:eastAsia="Times New Roman" w:hAnsi="Trebuchet MS" w:cs="Times New Roman"/>
                <w:sz w:val="22"/>
                <w:szCs w:val="22"/>
                <w:lang w:val="fr-CA"/>
              </w:rPr>
            </w:pPr>
            <w:r>
              <w:rPr>
                <w:rFonts w:ascii="Trebuchet MS" w:eastAsia="Times New Roman" w:hAnsi="Trebuchet MS" w:cs="Arial"/>
                <w:sz w:val="22"/>
                <w:szCs w:val="22"/>
                <w:lang w:val="fr-CA"/>
              </w:rPr>
              <w:t>10</w:t>
            </w:r>
            <w:r w:rsidR="00100447">
              <w:rPr>
                <w:rFonts w:ascii="Trebuchet MS" w:eastAsia="Times New Roman" w:hAnsi="Trebuchet MS" w:cs="Arial"/>
                <w:sz w:val="22"/>
                <w:szCs w:val="22"/>
                <w:lang w:val="fr-CA"/>
              </w:rPr>
              <w:t xml:space="preserve"> </w:t>
            </w:r>
            <w:r w:rsidR="00100447" w:rsidRPr="00043286">
              <w:rPr>
                <w:rFonts w:ascii="Trebuchet MS" w:eastAsia="Times New Roman" w:hAnsi="Trebuchet MS" w:cs="Arial"/>
                <w:sz w:val="22"/>
                <w:szCs w:val="22"/>
                <w:lang w:val="fr-CA"/>
              </w:rPr>
              <w:t>heures</w:t>
            </w:r>
          </w:p>
        </w:tc>
      </w:tr>
      <w:tr w:rsidR="00100447" w:rsidRPr="00043286" w14:paraId="28A81E31" w14:textId="77777777" w:rsidTr="00B95159">
        <w:trPr>
          <w:tblCellSpacing w:w="15" w:type="dxa"/>
        </w:trPr>
        <w:tc>
          <w:tcPr>
            <w:tcW w:w="3510" w:type="pct"/>
            <w:tcBorders>
              <w:top w:val="single" w:sz="6" w:space="0" w:color="auto"/>
              <w:left w:val="single" w:sz="6" w:space="0" w:color="auto"/>
              <w:bottom w:val="single" w:sz="6" w:space="0" w:color="auto"/>
              <w:right w:val="single" w:sz="6" w:space="0" w:color="auto"/>
            </w:tcBorders>
            <w:vAlign w:val="center"/>
            <w:hideMark/>
          </w:tcPr>
          <w:p w14:paraId="0094488E" w14:textId="77777777" w:rsidR="00100447" w:rsidRPr="00043286" w:rsidRDefault="00100447" w:rsidP="00B95159">
            <w:pPr>
              <w:rPr>
                <w:rFonts w:ascii="Trebuchet MS" w:eastAsia="Times New Roman" w:hAnsi="Trebuchet MS" w:cs="Times New Roman"/>
                <w:sz w:val="22"/>
                <w:szCs w:val="22"/>
                <w:lang w:val="fr-CA"/>
              </w:rPr>
            </w:pPr>
            <w:r w:rsidRPr="00043286">
              <w:rPr>
                <w:rFonts w:ascii="Trebuchet MS" w:eastAsia="Times New Roman" w:hAnsi="Trebuchet MS" w:cs="Arial"/>
                <w:sz w:val="22"/>
                <w:szCs w:val="22"/>
                <w:lang w:val="fr-CA"/>
              </w:rPr>
              <w:t xml:space="preserve">3. </w:t>
            </w:r>
            <w:r>
              <w:rPr>
                <w:rFonts w:ascii="Trebuchet MS" w:eastAsia="Times New Roman" w:hAnsi="Trebuchet MS" w:cs="Arial"/>
                <w:sz w:val="22"/>
                <w:szCs w:val="22"/>
                <w:lang w:val="fr-CA"/>
              </w:rPr>
              <w:t>UA3 : Maladie coronarienne</w:t>
            </w:r>
          </w:p>
        </w:tc>
        <w:tc>
          <w:tcPr>
            <w:tcW w:w="1434" w:type="pct"/>
            <w:tcBorders>
              <w:top w:val="single" w:sz="6" w:space="0" w:color="auto"/>
              <w:left w:val="single" w:sz="6" w:space="0" w:color="auto"/>
              <w:bottom w:val="single" w:sz="6" w:space="0" w:color="auto"/>
              <w:right w:val="single" w:sz="6" w:space="0" w:color="auto"/>
            </w:tcBorders>
            <w:vAlign w:val="center"/>
            <w:hideMark/>
          </w:tcPr>
          <w:p w14:paraId="53B02C80" w14:textId="63580CD3" w:rsidR="00100447" w:rsidRPr="00043286" w:rsidRDefault="00F80440" w:rsidP="00B95159">
            <w:pPr>
              <w:jc w:val="right"/>
              <w:rPr>
                <w:rFonts w:ascii="Trebuchet MS" w:eastAsia="Times New Roman" w:hAnsi="Trebuchet MS" w:cs="Times New Roman"/>
                <w:sz w:val="22"/>
                <w:szCs w:val="22"/>
                <w:lang w:val="fr-CA"/>
              </w:rPr>
            </w:pPr>
            <w:r>
              <w:rPr>
                <w:rFonts w:ascii="Trebuchet MS" w:eastAsia="Times New Roman" w:hAnsi="Trebuchet MS" w:cs="Arial"/>
                <w:sz w:val="22"/>
                <w:szCs w:val="22"/>
                <w:lang w:val="fr-CA"/>
              </w:rPr>
              <w:t>10</w:t>
            </w:r>
            <w:r w:rsidR="00100447" w:rsidRPr="00043286">
              <w:rPr>
                <w:rFonts w:ascii="Trebuchet MS" w:eastAsia="Times New Roman" w:hAnsi="Trebuchet MS" w:cs="Arial"/>
                <w:sz w:val="22"/>
                <w:szCs w:val="22"/>
                <w:lang w:val="fr-CA"/>
              </w:rPr>
              <w:t xml:space="preserve"> heures</w:t>
            </w:r>
          </w:p>
        </w:tc>
      </w:tr>
      <w:tr w:rsidR="00100447" w:rsidRPr="00043286" w14:paraId="610A16B7" w14:textId="77777777" w:rsidTr="00B95159">
        <w:trPr>
          <w:tblCellSpacing w:w="15" w:type="dxa"/>
        </w:trPr>
        <w:tc>
          <w:tcPr>
            <w:tcW w:w="3510" w:type="pct"/>
            <w:tcBorders>
              <w:top w:val="single" w:sz="6" w:space="0" w:color="auto"/>
              <w:left w:val="single" w:sz="6" w:space="0" w:color="auto"/>
              <w:bottom w:val="single" w:sz="6" w:space="0" w:color="auto"/>
              <w:right w:val="single" w:sz="6" w:space="0" w:color="auto"/>
            </w:tcBorders>
            <w:vAlign w:val="center"/>
            <w:hideMark/>
          </w:tcPr>
          <w:p w14:paraId="30FD080E" w14:textId="77777777" w:rsidR="00100447" w:rsidRPr="00043286" w:rsidRDefault="00100447" w:rsidP="00B95159">
            <w:pPr>
              <w:rPr>
                <w:rFonts w:ascii="Trebuchet MS" w:eastAsia="Times New Roman" w:hAnsi="Trebuchet MS" w:cs="Times New Roman"/>
                <w:sz w:val="22"/>
                <w:szCs w:val="22"/>
                <w:lang w:val="fr-CA"/>
              </w:rPr>
            </w:pPr>
            <w:r w:rsidRPr="00043286">
              <w:rPr>
                <w:rFonts w:ascii="Trebuchet MS" w:eastAsia="Times New Roman" w:hAnsi="Trebuchet MS" w:cs="Arial"/>
                <w:sz w:val="22"/>
                <w:szCs w:val="22"/>
                <w:lang w:val="fr-CA"/>
              </w:rPr>
              <w:t xml:space="preserve">5. </w:t>
            </w:r>
            <w:r>
              <w:rPr>
                <w:rFonts w:ascii="Trebuchet MS" w:eastAsia="Times New Roman" w:hAnsi="Trebuchet MS" w:cs="Arial"/>
                <w:sz w:val="22"/>
                <w:szCs w:val="22"/>
                <w:lang w:val="fr-CA"/>
              </w:rPr>
              <w:t>Activité synthèse</w:t>
            </w:r>
          </w:p>
        </w:tc>
        <w:tc>
          <w:tcPr>
            <w:tcW w:w="1434" w:type="pct"/>
            <w:tcBorders>
              <w:top w:val="single" w:sz="6" w:space="0" w:color="auto"/>
              <w:left w:val="single" w:sz="6" w:space="0" w:color="auto"/>
              <w:bottom w:val="single" w:sz="6" w:space="0" w:color="auto"/>
              <w:right w:val="single" w:sz="6" w:space="0" w:color="auto"/>
            </w:tcBorders>
            <w:vAlign w:val="center"/>
            <w:hideMark/>
          </w:tcPr>
          <w:p w14:paraId="762ABFB9" w14:textId="041B76FC" w:rsidR="00100447" w:rsidRPr="00043286" w:rsidRDefault="00B95159" w:rsidP="00B95159">
            <w:pPr>
              <w:jc w:val="right"/>
              <w:rPr>
                <w:rFonts w:ascii="Trebuchet MS" w:eastAsia="Times New Roman" w:hAnsi="Trebuchet MS" w:cs="Times New Roman"/>
                <w:sz w:val="22"/>
                <w:szCs w:val="22"/>
                <w:lang w:val="fr-CA"/>
              </w:rPr>
            </w:pPr>
            <w:r>
              <w:rPr>
                <w:rFonts w:ascii="Trebuchet MS" w:eastAsia="Times New Roman" w:hAnsi="Trebuchet MS" w:cs="Arial"/>
                <w:sz w:val="22"/>
                <w:szCs w:val="22"/>
                <w:lang w:val="fr-CA"/>
              </w:rPr>
              <w:t>3.5</w:t>
            </w:r>
            <w:r w:rsidR="00100447" w:rsidRPr="00043286">
              <w:rPr>
                <w:rFonts w:ascii="Trebuchet MS" w:eastAsia="Times New Roman" w:hAnsi="Trebuchet MS" w:cs="Arial"/>
                <w:sz w:val="22"/>
                <w:szCs w:val="22"/>
                <w:lang w:val="fr-CA"/>
              </w:rPr>
              <w:t xml:space="preserve"> heures</w:t>
            </w:r>
          </w:p>
        </w:tc>
      </w:tr>
      <w:tr w:rsidR="00B95159" w:rsidRPr="00043286" w14:paraId="369CC373" w14:textId="77777777" w:rsidTr="00B95159">
        <w:trPr>
          <w:tblCellSpacing w:w="15" w:type="dxa"/>
        </w:trPr>
        <w:tc>
          <w:tcPr>
            <w:tcW w:w="3510" w:type="pct"/>
            <w:tcBorders>
              <w:top w:val="single" w:sz="6" w:space="0" w:color="auto"/>
              <w:left w:val="single" w:sz="6" w:space="0" w:color="auto"/>
              <w:bottom w:val="single" w:sz="6" w:space="0" w:color="auto"/>
              <w:right w:val="single" w:sz="6" w:space="0" w:color="auto"/>
            </w:tcBorders>
            <w:vAlign w:val="center"/>
          </w:tcPr>
          <w:p w14:paraId="20CC0F39" w14:textId="638EB68B" w:rsidR="00B95159" w:rsidRDefault="00B95159" w:rsidP="00B95159">
            <w:pPr>
              <w:pStyle w:val="Paragraphedeliste"/>
              <w:ind w:left="0"/>
              <w:rPr>
                <w:rFonts w:ascii="Trebuchet MS" w:eastAsia="Times New Roman" w:hAnsi="Trebuchet MS" w:cs="Arial"/>
                <w:sz w:val="22"/>
                <w:szCs w:val="22"/>
                <w:lang w:val="fr-CA"/>
              </w:rPr>
            </w:pPr>
            <w:r>
              <w:rPr>
                <w:rFonts w:ascii="Trebuchet MS" w:eastAsia="Times New Roman" w:hAnsi="Trebuchet MS" w:cs="Arial"/>
                <w:sz w:val="22"/>
                <w:szCs w:val="22"/>
                <w:lang w:val="fr-CA"/>
              </w:rPr>
              <w:t>6. Conclusion du cours</w:t>
            </w:r>
          </w:p>
        </w:tc>
        <w:tc>
          <w:tcPr>
            <w:tcW w:w="1434" w:type="pct"/>
            <w:tcBorders>
              <w:top w:val="single" w:sz="6" w:space="0" w:color="auto"/>
              <w:left w:val="single" w:sz="6" w:space="0" w:color="auto"/>
              <w:bottom w:val="single" w:sz="6" w:space="0" w:color="auto"/>
              <w:right w:val="single" w:sz="6" w:space="0" w:color="auto"/>
            </w:tcBorders>
            <w:vAlign w:val="center"/>
          </w:tcPr>
          <w:p w14:paraId="4F70D4B3" w14:textId="0547E611" w:rsidR="00B95159" w:rsidRDefault="00B95159" w:rsidP="00B95159">
            <w:pPr>
              <w:jc w:val="right"/>
              <w:rPr>
                <w:rFonts w:ascii="Trebuchet MS" w:eastAsia="Times New Roman" w:hAnsi="Trebuchet MS" w:cs="Arial"/>
                <w:sz w:val="22"/>
                <w:szCs w:val="22"/>
                <w:lang w:val="fr-CA"/>
              </w:rPr>
            </w:pPr>
            <w:r>
              <w:rPr>
                <w:rFonts w:ascii="Trebuchet MS" w:eastAsia="Times New Roman" w:hAnsi="Trebuchet MS" w:cs="Arial"/>
                <w:sz w:val="22"/>
                <w:szCs w:val="22"/>
                <w:lang w:val="fr-CA"/>
              </w:rPr>
              <w:t>0.5 heure</w:t>
            </w:r>
          </w:p>
        </w:tc>
      </w:tr>
      <w:tr w:rsidR="00100447" w:rsidRPr="00043286" w14:paraId="6BBB6C21" w14:textId="77777777" w:rsidTr="00B95159">
        <w:trPr>
          <w:tblCellSpacing w:w="15" w:type="dxa"/>
        </w:trPr>
        <w:tc>
          <w:tcPr>
            <w:tcW w:w="3510" w:type="pct"/>
            <w:tcBorders>
              <w:top w:val="single" w:sz="6" w:space="0" w:color="auto"/>
              <w:left w:val="single" w:sz="6" w:space="0" w:color="auto"/>
              <w:bottom w:val="single" w:sz="6" w:space="0" w:color="auto"/>
              <w:right w:val="single" w:sz="6" w:space="0" w:color="auto"/>
            </w:tcBorders>
            <w:vAlign w:val="center"/>
          </w:tcPr>
          <w:p w14:paraId="5B1643B8" w14:textId="36438B54" w:rsidR="00100447" w:rsidRPr="003B7C3F" w:rsidRDefault="00B95159" w:rsidP="00B95159">
            <w:pPr>
              <w:pStyle w:val="Paragraphedeliste"/>
              <w:ind w:left="0"/>
              <w:rPr>
                <w:rFonts w:ascii="Trebuchet MS" w:eastAsia="Times New Roman" w:hAnsi="Trebuchet MS" w:cs="Arial"/>
                <w:sz w:val="22"/>
                <w:szCs w:val="22"/>
                <w:lang w:val="fr-CA"/>
              </w:rPr>
            </w:pPr>
            <w:r>
              <w:rPr>
                <w:rFonts w:ascii="Trebuchet MS" w:eastAsia="Times New Roman" w:hAnsi="Trebuchet MS" w:cs="Arial"/>
                <w:sz w:val="22"/>
                <w:szCs w:val="22"/>
                <w:lang w:val="fr-CA"/>
              </w:rPr>
              <w:t>7</w:t>
            </w:r>
            <w:r w:rsidR="00100447">
              <w:rPr>
                <w:rFonts w:ascii="Trebuchet MS" w:eastAsia="Times New Roman" w:hAnsi="Trebuchet MS" w:cs="Arial"/>
                <w:sz w:val="22"/>
                <w:szCs w:val="22"/>
                <w:lang w:val="fr-CA"/>
              </w:rPr>
              <w:t>. Préparation à l’évaluation certificative</w:t>
            </w:r>
            <w:r>
              <w:rPr>
                <w:rFonts w:ascii="Trebuchet MS" w:eastAsia="Times New Roman" w:hAnsi="Trebuchet MS" w:cs="Arial"/>
                <w:sz w:val="22"/>
                <w:szCs w:val="22"/>
                <w:lang w:val="fr-CA"/>
              </w:rPr>
              <w:t xml:space="preserve"> et passation</w:t>
            </w:r>
          </w:p>
        </w:tc>
        <w:tc>
          <w:tcPr>
            <w:tcW w:w="1434" w:type="pct"/>
            <w:tcBorders>
              <w:top w:val="single" w:sz="6" w:space="0" w:color="auto"/>
              <w:left w:val="single" w:sz="6" w:space="0" w:color="auto"/>
              <w:bottom w:val="single" w:sz="6" w:space="0" w:color="auto"/>
              <w:right w:val="single" w:sz="6" w:space="0" w:color="auto"/>
            </w:tcBorders>
            <w:vAlign w:val="center"/>
          </w:tcPr>
          <w:p w14:paraId="0030D080" w14:textId="77777777" w:rsidR="00100447" w:rsidRDefault="00100447" w:rsidP="00B95159">
            <w:pPr>
              <w:jc w:val="right"/>
              <w:rPr>
                <w:rFonts w:ascii="Trebuchet MS" w:eastAsia="Times New Roman" w:hAnsi="Trebuchet MS" w:cs="Arial"/>
                <w:sz w:val="22"/>
                <w:szCs w:val="22"/>
                <w:lang w:val="fr-CA"/>
              </w:rPr>
            </w:pPr>
            <w:r>
              <w:rPr>
                <w:rFonts w:ascii="Trebuchet MS" w:eastAsia="Times New Roman" w:hAnsi="Trebuchet MS" w:cs="Arial"/>
                <w:sz w:val="22"/>
                <w:szCs w:val="22"/>
                <w:lang w:val="fr-CA"/>
              </w:rPr>
              <w:t>10 heures</w:t>
            </w:r>
          </w:p>
        </w:tc>
      </w:tr>
      <w:tr w:rsidR="00100447" w:rsidRPr="00043286" w14:paraId="0BD73CD7" w14:textId="77777777" w:rsidTr="00B95159">
        <w:trPr>
          <w:tblCellSpacing w:w="15" w:type="dxa"/>
        </w:trPr>
        <w:tc>
          <w:tcPr>
            <w:tcW w:w="3510" w:type="pct"/>
            <w:tcBorders>
              <w:top w:val="single" w:sz="6" w:space="0" w:color="auto"/>
              <w:left w:val="single" w:sz="6" w:space="0" w:color="auto"/>
              <w:bottom w:val="single" w:sz="6" w:space="0" w:color="auto"/>
              <w:right w:val="single" w:sz="6" w:space="0" w:color="auto"/>
            </w:tcBorders>
            <w:vAlign w:val="center"/>
            <w:hideMark/>
          </w:tcPr>
          <w:p w14:paraId="10301F96" w14:textId="77777777" w:rsidR="00100447" w:rsidRPr="00043286" w:rsidRDefault="00100447" w:rsidP="00B95159">
            <w:pPr>
              <w:rPr>
                <w:rFonts w:ascii="Trebuchet MS" w:eastAsia="Times New Roman" w:hAnsi="Trebuchet MS" w:cs="Times New Roman"/>
                <w:sz w:val="22"/>
                <w:szCs w:val="22"/>
                <w:lang w:val="fr-CA"/>
              </w:rPr>
            </w:pPr>
            <w:r w:rsidRPr="00043286">
              <w:rPr>
                <w:rFonts w:ascii="Trebuchet MS" w:eastAsia="Times New Roman" w:hAnsi="Trebuchet MS" w:cs="Arial"/>
                <w:sz w:val="22"/>
                <w:szCs w:val="22"/>
                <w:lang w:val="fr-CA"/>
              </w:rPr>
              <w:t>Total</w:t>
            </w:r>
          </w:p>
        </w:tc>
        <w:tc>
          <w:tcPr>
            <w:tcW w:w="1434" w:type="pct"/>
            <w:tcBorders>
              <w:top w:val="single" w:sz="6" w:space="0" w:color="auto"/>
              <w:left w:val="single" w:sz="6" w:space="0" w:color="auto"/>
              <w:bottom w:val="single" w:sz="6" w:space="0" w:color="auto"/>
              <w:right w:val="single" w:sz="6" w:space="0" w:color="auto"/>
            </w:tcBorders>
            <w:vAlign w:val="center"/>
            <w:hideMark/>
          </w:tcPr>
          <w:p w14:paraId="21386714" w14:textId="77777777" w:rsidR="00100447" w:rsidRPr="00043286" w:rsidRDefault="00100447" w:rsidP="00B95159">
            <w:pPr>
              <w:jc w:val="right"/>
              <w:rPr>
                <w:rFonts w:ascii="Trebuchet MS" w:eastAsia="Times New Roman" w:hAnsi="Trebuchet MS" w:cs="Times New Roman"/>
                <w:sz w:val="22"/>
                <w:szCs w:val="22"/>
                <w:lang w:val="fr-CA"/>
              </w:rPr>
            </w:pPr>
            <w:r>
              <w:rPr>
                <w:rFonts w:ascii="Trebuchet MS" w:eastAsia="Times New Roman" w:hAnsi="Trebuchet MS" w:cs="Arial"/>
                <w:sz w:val="22"/>
                <w:szCs w:val="22"/>
                <w:lang w:val="fr-CA"/>
              </w:rPr>
              <w:t>45</w:t>
            </w:r>
            <w:r w:rsidRPr="00043286">
              <w:rPr>
                <w:rFonts w:ascii="Trebuchet MS" w:eastAsia="Times New Roman" w:hAnsi="Trebuchet MS" w:cs="Arial"/>
                <w:sz w:val="22"/>
                <w:szCs w:val="22"/>
                <w:lang w:val="fr-CA"/>
              </w:rPr>
              <w:t xml:space="preserve"> heures</w:t>
            </w:r>
          </w:p>
        </w:tc>
      </w:tr>
    </w:tbl>
    <w:p w14:paraId="5B45BE06" w14:textId="77777777" w:rsidR="00100447" w:rsidRDefault="00100447" w:rsidP="00100447">
      <w:pPr>
        <w:pStyle w:val="Titre2"/>
        <w:rPr>
          <w:rStyle w:val="lev"/>
          <w:rFonts w:eastAsia="Times New Roman" w:cs="Arial"/>
          <w:b/>
        </w:rPr>
      </w:pPr>
    </w:p>
    <w:p w14:paraId="1D97D5AE" w14:textId="77777777" w:rsidR="00100447" w:rsidRDefault="00100447" w:rsidP="00100447">
      <w:pPr>
        <w:pStyle w:val="Titre2"/>
      </w:pPr>
      <w:r>
        <w:t>Environnement d’apprentissage</w:t>
      </w:r>
      <w:bookmarkEnd w:id="7"/>
    </w:p>
    <w:p w14:paraId="64ED4475" w14:textId="77777777" w:rsidR="00100447" w:rsidRPr="003B7C3F" w:rsidRDefault="00100447" w:rsidP="00100447">
      <w:pPr>
        <w:spacing w:before="100" w:beforeAutospacing="1" w:after="100" w:afterAutospacing="1"/>
        <w:rPr>
          <w:rFonts w:ascii="Trebuchet MS" w:hAnsi="Trebuchet MS" w:cs="Times New Roman"/>
          <w:sz w:val="22"/>
          <w:szCs w:val="22"/>
          <w:lang w:val="fr-CA"/>
        </w:rPr>
      </w:pPr>
      <w:r w:rsidRPr="003B7C3F">
        <w:rPr>
          <w:rFonts w:ascii="Trebuchet MS" w:hAnsi="Trebuchet MS" w:cs="Arial"/>
          <w:sz w:val="22"/>
          <w:szCs w:val="22"/>
          <w:lang w:val="fr-CA"/>
        </w:rPr>
        <w:t>La démarche d’apprentissage proposée s’appuie sur des principes que nous pourrions classer en deux catégories : ceux selon lesquels vous gérez votre démarche d’apprentissage et ceux qui font appel au contexte dans lequel vous pourrez appliquer vos nouvelles connaissances.</w:t>
      </w:r>
    </w:p>
    <w:p w14:paraId="7D682AF2" w14:textId="77777777" w:rsidR="00100447" w:rsidRDefault="00100447" w:rsidP="00100447">
      <w:pPr>
        <w:spacing w:before="100" w:beforeAutospacing="1" w:after="100" w:afterAutospacing="1"/>
        <w:rPr>
          <w:rFonts w:ascii="Trebuchet MS" w:hAnsi="Trebuchet MS" w:cs="Arial"/>
          <w:sz w:val="22"/>
          <w:szCs w:val="22"/>
          <w:lang w:val="fr-CA"/>
        </w:rPr>
      </w:pPr>
      <w:r w:rsidRPr="003B7C3F">
        <w:rPr>
          <w:rFonts w:ascii="Trebuchet MS" w:hAnsi="Trebuchet MS" w:cs="Arial"/>
          <w:sz w:val="22"/>
          <w:szCs w:val="22"/>
          <w:lang w:val="fr-CA"/>
        </w:rPr>
        <w:t>Dans un premier temps, chaque</w:t>
      </w:r>
      <w:r>
        <w:rPr>
          <w:rFonts w:ascii="Trebuchet MS" w:hAnsi="Trebuchet MS" w:cs="Arial"/>
          <w:sz w:val="22"/>
          <w:szCs w:val="22"/>
          <w:lang w:val="fr-CA"/>
        </w:rPr>
        <w:t xml:space="preserve"> unité d’apprentissage</w:t>
      </w:r>
      <w:r w:rsidRPr="003B7C3F">
        <w:rPr>
          <w:rFonts w:ascii="Trebuchet MS" w:hAnsi="Trebuchet MS" w:cs="Arial"/>
          <w:sz w:val="22"/>
          <w:szCs w:val="22"/>
          <w:lang w:val="fr-CA"/>
        </w:rPr>
        <w:t xml:space="preserve"> vous présente les objectifs </w:t>
      </w:r>
      <w:r>
        <w:rPr>
          <w:rFonts w:ascii="Trebuchet MS" w:hAnsi="Trebuchet MS" w:cs="Arial"/>
          <w:sz w:val="22"/>
          <w:szCs w:val="22"/>
          <w:lang w:val="fr-CA"/>
        </w:rPr>
        <w:t xml:space="preserve">d’apprentissage visés, ainsi que </w:t>
      </w:r>
      <w:r w:rsidRPr="003B7C3F">
        <w:rPr>
          <w:rFonts w:ascii="Trebuchet MS" w:hAnsi="Trebuchet MS" w:cs="Arial"/>
          <w:sz w:val="22"/>
          <w:szCs w:val="22"/>
          <w:lang w:val="fr-CA"/>
        </w:rPr>
        <w:t>le</w:t>
      </w:r>
      <w:r>
        <w:rPr>
          <w:rFonts w:ascii="Trebuchet MS" w:hAnsi="Trebuchet MS" w:cs="Arial"/>
          <w:sz w:val="22"/>
          <w:szCs w:val="22"/>
          <w:lang w:val="fr-CA"/>
        </w:rPr>
        <w:t>s</w:t>
      </w:r>
      <w:r w:rsidRPr="003B7C3F">
        <w:rPr>
          <w:rFonts w:ascii="Trebuchet MS" w:hAnsi="Trebuchet MS" w:cs="Arial"/>
          <w:sz w:val="22"/>
          <w:szCs w:val="22"/>
          <w:lang w:val="fr-CA"/>
        </w:rPr>
        <w:t xml:space="preserve"> </w:t>
      </w:r>
      <w:r>
        <w:rPr>
          <w:rFonts w:ascii="Trebuchet MS" w:hAnsi="Trebuchet MS" w:cs="Arial"/>
          <w:sz w:val="22"/>
          <w:szCs w:val="22"/>
          <w:lang w:val="fr-CA"/>
        </w:rPr>
        <w:t xml:space="preserve">références pertinentes pour résoudre les cas. </w:t>
      </w:r>
      <w:r w:rsidRPr="003B7C3F">
        <w:rPr>
          <w:rFonts w:ascii="Trebuchet MS" w:hAnsi="Trebuchet MS" w:cs="Arial"/>
          <w:sz w:val="22"/>
          <w:szCs w:val="22"/>
          <w:lang w:val="fr-CA"/>
        </w:rPr>
        <w:t>Dans un deuxième temps, la</w:t>
      </w:r>
      <w:r>
        <w:rPr>
          <w:rFonts w:ascii="Trebuchet MS" w:hAnsi="Trebuchet MS" w:cs="Arial"/>
          <w:sz w:val="22"/>
          <w:szCs w:val="22"/>
          <w:lang w:val="fr-CA"/>
        </w:rPr>
        <w:t xml:space="preserve"> résolution des cas en consultant les références, les fiches et autres outils théoriques disponibles vous aideront à compléter vos apprentissages et les mettre en pratique. Une </w:t>
      </w:r>
      <w:r w:rsidRPr="003B7C3F">
        <w:rPr>
          <w:rFonts w:ascii="Trebuchet MS" w:hAnsi="Trebuchet MS" w:cs="Arial"/>
          <w:sz w:val="22"/>
          <w:szCs w:val="22"/>
          <w:lang w:val="fr-CA"/>
        </w:rPr>
        <w:t>évaluation formative</w:t>
      </w:r>
      <w:r>
        <w:rPr>
          <w:rFonts w:ascii="Trebuchet MS" w:hAnsi="Trebuchet MS" w:cs="Arial"/>
          <w:sz w:val="22"/>
          <w:szCs w:val="22"/>
          <w:lang w:val="fr-CA"/>
        </w:rPr>
        <w:t xml:space="preserve"> vous est disponible à la fin du cours pour faire un retour sur les </w:t>
      </w:r>
      <w:r w:rsidRPr="003B7C3F">
        <w:rPr>
          <w:rFonts w:ascii="Trebuchet MS" w:hAnsi="Trebuchet MS" w:cs="Arial"/>
          <w:sz w:val="22"/>
          <w:szCs w:val="22"/>
          <w:lang w:val="fr-CA"/>
        </w:rPr>
        <w:t xml:space="preserve">apprentissages. </w:t>
      </w:r>
      <w:r>
        <w:rPr>
          <w:rFonts w:ascii="Trebuchet MS" w:hAnsi="Trebuchet MS" w:cs="Arial"/>
          <w:sz w:val="22"/>
          <w:szCs w:val="22"/>
          <w:lang w:val="fr-CA"/>
        </w:rPr>
        <w:t xml:space="preserve">Finalement, une activité synthèse en classe virtuelle permettra à l’enseignant de résumer les points importants du cours et de répondre à vos questions. </w:t>
      </w:r>
    </w:p>
    <w:p w14:paraId="20447C14" w14:textId="77777777" w:rsidR="00100447" w:rsidRDefault="00100447" w:rsidP="00100447">
      <w:pPr>
        <w:spacing w:before="100" w:beforeAutospacing="1" w:after="100" w:afterAutospacing="1"/>
        <w:rPr>
          <w:rFonts w:ascii="Trebuchet MS" w:hAnsi="Trebuchet MS" w:cs="Arial"/>
          <w:sz w:val="22"/>
          <w:szCs w:val="22"/>
          <w:lang w:val="fr-CA"/>
        </w:rPr>
      </w:pPr>
      <w:r w:rsidRPr="003B7C3F">
        <w:rPr>
          <w:rFonts w:ascii="Trebuchet MS" w:hAnsi="Trebuchet MS" w:cs="Arial"/>
          <w:sz w:val="22"/>
          <w:szCs w:val="22"/>
          <w:lang w:val="fr-CA"/>
        </w:rPr>
        <w:t>Ce cours requiert de suivre d'assez près la démarche proposée pour pouvoir en profiter</w:t>
      </w:r>
      <w:r>
        <w:rPr>
          <w:rFonts w:ascii="Trebuchet MS" w:hAnsi="Trebuchet MS" w:cs="Arial"/>
          <w:sz w:val="22"/>
          <w:szCs w:val="22"/>
          <w:lang w:val="fr-CA"/>
        </w:rPr>
        <w:t>.</w:t>
      </w:r>
    </w:p>
    <w:p w14:paraId="7E58CFF9" w14:textId="77777777" w:rsidR="00100447" w:rsidRDefault="00100447" w:rsidP="00100447">
      <w:pPr>
        <w:spacing w:before="100" w:beforeAutospacing="1" w:after="100" w:afterAutospacing="1"/>
        <w:rPr>
          <w:rFonts w:ascii="Trebuchet MS" w:hAnsi="Trebuchet MS" w:cs="Arial"/>
          <w:sz w:val="22"/>
          <w:szCs w:val="22"/>
          <w:lang w:val="fr-CA"/>
        </w:rPr>
      </w:pPr>
      <w:r w:rsidRPr="003B7C3F">
        <w:rPr>
          <w:rFonts w:ascii="Trebuchet MS" w:hAnsi="Trebuchet MS" w:cs="Arial"/>
          <w:sz w:val="22"/>
          <w:szCs w:val="22"/>
          <w:lang w:val="fr-CA"/>
        </w:rPr>
        <w:t xml:space="preserve">Vous aurez à réaliser </w:t>
      </w:r>
      <w:r>
        <w:rPr>
          <w:rFonts w:ascii="Trebuchet MS" w:hAnsi="Trebuchet MS" w:cs="Arial"/>
          <w:sz w:val="22"/>
          <w:szCs w:val="22"/>
          <w:lang w:val="fr-CA"/>
        </w:rPr>
        <w:t>l</w:t>
      </w:r>
      <w:r w:rsidRPr="003B7C3F">
        <w:rPr>
          <w:rFonts w:ascii="Trebuchet MS" w:hAnsi="Trebuchet MS" w:cs="Arial"/>
          <w:sz w:val="22"/>
          <w:szCs w:val="22"/>
          <w:lang w:val="fr-CA"/>
        </w:rPr>
        <w:t xml:space="preserve">es activités sur une base individuelle tout en échangeant (cela est facultatif) vos commentaires et vos réflexions sur le </w:t>
      </w:r>
      <w:r>
        <w:rPr>
          <w:rFonts w:ascii="Trebuchet MS" w:hAnsi="Trebuchet MS" w:cs="Arial"/>
          <w:sz w:val="22"/>
          <w:szCs w:val="22"/>
          <w:lang w:val="fr-CA"/>
        </w:rPr>
        <w:t xml:space="preserve">forum du cours. </w:t>
      </w:r>
      <w:r w:rsidRPr="003B7C3F">
        <w:rPr>
          <w:rFonts w:ascii="Trebuchet MS" w:hAnsi="Trebuchet MS" w:cs="Arial"/>
          <w:sz w:val="22"/>
          <w:szCs w:val="22"/>
          <w:lang w:val="fr-CA"/>
        </w:rPr>
        <w:t>Vous serez invité à discuter de lectures pertinentes, de difficultés éprouvées, de</w:t>
      </w:r>
      <w:r>
        <w:rPr>
          <w:rFonts w:ascii="Trebuchet MS" w:hAnsi="Trebuchet MS" w:cs="Arial"/>
          <w:sz w:val="22"/>
          <w:szCs w:val="22"/>
          <w:lang w:val="fr-CA"/>
        </w:rPr>
        <w:t>s expériences vécues</w:t>
      </w:r>
      <w:r w:rsidRPr="003B7C3F">
        <w:rPr>
          <w:rFonts w:ascii="Trebuchet MS" w:hAnsi="Trebuchet MS" w:cs="Arial"/>
          <w:sz w:val="22"/>
          <w:szCs w:val="22"/>
          <w:lang w:val="fr-CA"/>
        </w:rPr>
        <w:t xml:space="preserve"> </w:t>
      </w:r>
      <w:r>
        <w:rPr>
          <w:rFonts w:ascii="Trebuchet MS" w:hAnsi="Trebuchet MS" w:cs="Arial"/>
          <w:sz w:val="22"/>
          <w:szCs w:val="22"/>
          <w:lang w:val="fr-CA"/>
        </w:rPr>
        <w:t xml:space="preserve">et de vos bons coups. </w:t>
      </w:r>
    </w:p>
    <w:p w14:paraId="302F72F4" w14:textId="77777777" w:rsidR="00100447" w:rsidRPr="003B7C3F" w:rsidRDefault="00100447" w:rsidP="00100447">
      <w:pPr>
        <w:spacing w:before="100" w:beforeAutospacing="1" w:after="100" w:afterAutospacing="1"/>
        <w:rPr>
          <w:rFonts w:ascii="Trebuchet MS" w:hAnsi="Trebuchet MS" w:cs="Times New Roman"/>
          <w:sz w:val="22"/>
          <w:szCs w:val="22"/>
          <w:lang w:val="fr-CA"/>
        </w:rPr>
      </w:pPr>
      <w:r w:rsidRPr="003B7C3F">
        <w:rPr>
          <w:rFonts w:ascii="Trebuchet MS" w:hAnsi="Trebuchet MS" w:cs="Arial"/>
          <w:sz w:val="22"/>
          <w:szCs w:val="22"/>
          <w:lang w:val="fr-CA"/>
        </w:rPr>
        <w:t>Ce cours est totalement diffusé sur Internet. L'environnement que vous utilisez actuellement est conçu de manière à vous procurer un espace de consultation virtuel complet. Il contient donc toutes les ressources utiles pour suivre votre cours (documents et outils).</w:t>
      </w:r>
    </w:p>
    <w:p w14:paraId="2759B8E8" w14:textId="77777777" w:rsidR="00100447" w:rsidRDefault="00100447" w:rsidP="00100447">
      <w:pPr>
        <w:pStyle w:val="Titre2"/>
      </w:pPr>
      <w:bookmarkStart w:id="8" w:name="_Toc198948897"/>
      <w:r>
        <w:t>Encadrement</w:t>
      </w:r>
      <w:bookmarkEnd w:id="8"/>
      <w:r>
        <w:t xml:space="preserve"> </w:t>
      </w:r>
    </w:p>
    <w:p w14:paraId="381773F3" w14:textId="77777777" w:rsidR="00100447" w:rsidRDefault="00100447" w:rsidP="00100447"/>
    <w:p w14:paraId="76C7F8AE" w14:textId="77777777" w:rsidR="00100447" w:rsidRDefault="00100447" w:rsidP="00100447">
      <w:pPr>
        <w:spacing w:before="100" w:beforeAutospacing="1" w:after="100" w:afterAutospacing="1"/>
        <w:rPr>
          <w:rFonts w:ascii="Trebuchet MS" w:hAnsi="Trebuchet MS" w:cs="Arial"/>
          <w:sz w:val="22"/>
          <w:szCs w:val="22"/>
          <w:lang w:val="fr-CA"/>
        </w:rPr>
      </w:pPr>
      <w:r>
        <w:rPr>
          <w:rFonts w:ascii="Trebuchet MS" w:hAnsi="Trebuchet MS" w:cs="Arial"/>
          <w:sz w:val="22"/>
          <w:szCs w:val="22"/>
          <w:lang w:val="fr-CA"/>
        </w:rPr>
        <w:t xml:space="preserve">Votre tuteur est votre ressource pour le cours. </w:t>
      </w:r>
      <w:r w:rsidRPr="0090233D">
        <w:rPr>
          <w:rFonts w:ascii="Trebuchet MS" w:hAnsi="Trebuchet MS" w:cs="Arial"/>
          <w:sz w:val="22"/>
          <w:szCs w:val="22"/>
          <w:lang w:val="fr-CA"/>
        </w:rPr>
        <w:t xml:space="preserve">Cette personne a pour mandat de vous guider tout au long de votre cheminement dans le cours. Elle </w:t>
      </w:r>
      <w:r>
        <w:rPr>
          <w:rFonts w:ascii="Trebuchet MS" w:hAnsi="Trebuchet MS" w:cs="Arial"/>
          <w:sz w:val="22"/>
          <w:szCs w:val="22"/>
          <w:lang w:val="fr-CA"/>
        </w:rPr>
        <w:t xml:space="preserve">peut répondre à vos questions au besoin et vous fournir de la rétroaction sur votre résolution de cas. </w:t>
      </w:r>
    </w:p>
    <w:p w14:paraId="709C2F62" w14:textId="77777777" w:rsidR="00100447" w:rsidRPr="0090233D" w:rsidRDefault="00100447" w:rsidP="00100447">
      <w:pPr>
        <w:spacing w:before="100" w:beforeAutospacing="1" w:after="100" w:afterAutospacing="1"/>
        <w:rPr>
          <w:rFonts w:ascii="Trebuchet MS" w:hAnsi="Trebuchet MS" w:cs="Times New Roman"/>
          <w:sz w:val="22"/>
          <w:szCs w:val="22"/>
          <w:lang w:val="fr-CA"/>
        </w:rPr>
      </w:pPr>
      <w:r w:rsidRPr="0090233D">
        <w:rPr>
          <w:rFonts w:ascii="Trebuchet MS" w:hAnsi="Trebuchet MS" w:cs="Arial"/>
          <w:b/>
          <w:bCs/>
          <w:sz w:val="22"/>
          <w:szCs w:val="22"/>
          <w:lang w:val="fr-CA"/>
        </w:rPr>
        <w:t xml:space="preserve">Premier contact </w:t>
      </w:r>
    </w:p>
    <w:p w14:paraId="32D2AC54" w14:textId="77777777" w:rsidR="00100447" w:rsidRPr="0090233D" w:rsidRDefault="00100447" w:rsidP="00100447">
      <w:pPr>
        <w:spacing w:before="100" w:beforeAutospacing="1" w:after="100" w:afterAutospacing="1"/>
        <w:rPr>
          <w:rFonts w:ascii="Trebuchet MS" w:hAnsi="Trebuchet MS" w:cs="Times New Roman"/>
          <w:sz w:val="22"/>
          <w:szCs w:val="22"/>
          <w:lang w:val="fr-CA"/>
        </w:rPr>
      </w:pPr>
      <w:r w:rsidRPr="0090233D">
        <w:rPr>
          <w:rFonts w:ascii="Trebuchet MS" w:hAnsi="Trebuchet MS" w:cs="Arial"/>
          <w:sz w:val="22"/>
          <w:szCs w:val="22"/>
          <w:lang w:val="fr-CA"/>
        </w:rPr>
        <w:t xml:space="preserve">Dans la première semaine du cours, le </w:t>
      </w:r>
      <w:r>
        <w:rPr>
          <w:rFonts w:ascii="Trebuchet MS" w:hAnsi="Trebuchet MS" w:cs="Arial"/>
          <w:sz w:val="22"/>
          <w:szCs w:val="22"/>
          <w:lang w:val="fr-CA"/>
        </w:rPr>
        <w:t xml:space="preserve">tuteur </w:t>
      </w:r>
      <w:r w:rsidRPr="0090233D">
        <w:rPr>
          <w:rFonts w:ascii="Trebuchet MS" w:hAnsi="Trebuchet MS" w:cs="Arial"/>
          <w:sz w:val="22"/>
          <w:szCs w:val="22"/>
          <w:lang w:val="fr-CA"/>
        </w:rPr>
        <w:t xml:space="preserve">communiquera avec vous, soit par téléphone </w:t>
      </w:r>
      <w:proofErr w:type="gramStart"/>
      <w:r w:rsidRPr="0090233D">
        <w:rPr>
          <w:rFonts w:ascii="Trebuchet MS" w:hAnsi="Trebuchet MS" w:cs="Arial"/>
          <w:sz w:val="22"/>
          <w:szCs w:val="22"/>
          <w:lang w:val="fr-CA"/>
        </w:rPr>
        <w:t>ou</w:t>
      </w:r>
      <w:proofErr w:type="gramEnd"/>
      <w:r w:rsidRPr="0090233D">
        <w:rPr>
          <w:rFonts w:ascii="Trebuchet MS" w:hAnsi="Trebuchet MS" w:cs="Arial"/>
          <w:sz w:val="22"/>
          <w:szCs w:val="22"/>
          <w:lang w:val="fr-CA"/>
        </w:rPr>
        <w:t xml:space="preserve"> soit par courrier électronique, afin de s'assurer de votre bon démarrage du cours. À ce moment, il serait important que vous ayez pris connaissance de cette </w:t>
      </w:r>
      <w:r w:rsidRPr="0090233D">
        <w:rPr>
          <w:rFonts w:ascii="Trebuchet MS" w:hAnsi="Trebuchet MS" w:cs="Arial"/>
          <w:i/>
          <w:iCs/>
          <w:sz w:val="22"/>
          <w:szCs w:val="22"/>
          <w:lang w:val="fr-CA"/>
        </w:rPr>
        <w:t>Présentation du cours</w:t>
      </w:r>
      <w:r w:rsidRPr="0090233D">
        <w:rPr>
          <w:rFonts w:ascii="Trebuchet MS" w:hAnsi="Trebuchet MS" w:cs="Arial"/>
          <w:sz w:val="22"/>
          <w:szCs w:val="22"/>
          <w:lang w:val="fr-CA"/>
        </w:rPr>
        <w:t xml:space="preserve">, dans son ensemble, pour être en mesure de lui poser des questions sur : </w:t>
      </w:r>
    </w:p>
    <w:p w14:paraId="5729D161" w14:textId="77777777" w:rsidR="00100447" w:rsidRPr="0090233D" w:rsidRDefault="00100447" w:rsidP="00100447">
      <w:pPr>
        <w:numPr>
          <w:ilvl w:val="0"/>
          <w:numId w:val="6"/>
        </w:numPr>
        <w:spacing w:before="100" w:beforeAutospacing="1" w:after="100" w:afterAutospacing="1"/>
        <w:rPr>
          <w:rFonts w:ascii="Trebuchet MS" w:eastAsia="Times New Roman" w:hAnsi="Trebuchet MS" w:cs="Times New Roman"/>
          <w:sz w:val="22"/>
          <w:szCs w:val="22"/>
          <w:lang w:val="fr-CA"/>
        </w:rPr>
      </w:pPr>
      <w:r w:rsidRPr="0090233D">
        <w:rPr>
          <w:rFonts w:ascii="Trebuchet MS" w:eastAsia="Times New Roman" w:hAnsi="Trebuchet MS" w:cs="Arial"/>
          <w:sz w:val="22"/>
          <w:szCs w:val="22"/>
          <w:lang w:val="fr-CA"/>
        </w:rPr>
        <w:t xml:space="preserve">l'organisation du cours, ses composantes, son dénouement; </w:t>
      </w:r>
    </w:p>
    <w:p w14:paraId="7A525F49" w14:textId="77777777" w:rsidR="00100447" w:rsidRPr="0090233D" w:rsidRDefault="00100447" w:rsidP="00100447">
      <w:pPr>
        <w:numPr>
          <w:ilvl w:val="0"/>
          <w:numId w:val="6"/>
        </w:numPr>
        <w:spacing w:before="100" w:beforeAutospacing="1" w:after="100" w:afterAutospacing="1"/>
        <w:rPr>
          <w:rFonts w:ascii="Trebuchet MS" w:eastAsia="Times New Roman" w:hAnsi="Trebuchet MS" w:cs="Times New Roman"/>
          <w:sz w:val="22"/>
          <w:szCs w:val="22"/>
          <w:lang w:val="fr-CA"/>
        </w:rPr>
      </w:pPr>
      <w:r w:rsidRPr="0090233D">
        <w:rPr>
          <w:rFonts w:ascii="Trebuchet MS" w:eastAsia="Times New Roman" w:hAnsi="Trebuchet MS" w:cs="Arial"/>
          <w:sz w:val="22"/>
          <w:szCs w:val="22"/>
          <w:lang w:val="fr-CA"/>
        </w:rPr>
        <w:t xml:space="preserve">l'organisation du travail, les modalités et les dates </w:t>
      </w:r>
      <w:r>
        <w:rPr>
          <w:rFonts w:ascii="Trebuchet MS" w:eastAsia="Times New Roman" w:hAnsi="Trebuchet MS" w:cs="Arial"/>
          <w:sz w:val="22"/>
          <w:szCs w:val="22"/>
          <w:lang w:val="fr-CA"/>
        </w:rPr>
        <w:t>d’examen</w:t>
      </w:r>
      <w:r w:rsidRPr="0090233D">
        <w:rPr>
          <w:rFonts w:ascii="Trebuchet MS" w:eastAsia="Times New Roman" w:hAnsi="Trebuchet MS" w:cs="Arial"/>
          <w:sz w:val="22"/>
          <w:szCs w:val="22"/>
          <w:lang w:val="fr-CA"/>
        </w:rPr>
        <w:t xml:space="preserve">; </w:t>
      </w:r>
    </w:p>
    <w:p w14:paraId="451E66AF" w14:textId="77777777" w:rsidR="00100447" w:rsidRPr="0090233D" w:rsidRDefault="00100447" w:rsidP="00100447">
      <w:pPr>
        <w:numPr>
          <w:ilvl w:val="0"/>
          <w:numId w:val="6"/>
        </w:numPr>
        <w:spacing w:before="100" w:beforeAutospacing="1" w:after="100" w:afterAutospacing="1"/>
        <w:rPr>
          <w:rFonts w:ascii="Trebuchet MS" w:eastAsia="Times New Roman" w:hAnsi="Trebuchet MS" w:cs="Times New Roman"/>
          <w:sz w:val="22"/>
          <w:szCs w:val="22"/>
          <w:lang w:val="fr-CA"/>
        </w:rPr>
      </w:pPr>
      <w:r w:rsidRPr="0090233D">
        <w:rPr>
          <w:rFonts w:ascii="Trebuchet MS" w:eastAsia="Times New Roman" w:hAnsi="Trebuchet MS" w:cs="Arial"/>
          <w:sz w:val="22"/>
          <w:szCs w:val="22"/>
          <w:lang w:val="fr-CA"/>
        </w:rPr>
        <w:t xml:space="preserve">le nom de la personne à qui vous adresser en cas de problème technique; </w:t>
      </w:r>
    </w:p>
    <w:p w14:paraId="3A562875" w14:textId="77777777" w:rsidR="00100447" w:rsidRPr="0090233D" w:rsidRDefault="00100447" w:rsidP="00100447">
      <w:pPr>
        <w:numPr>
          <w:ilvl w:val="0"/>
          <w:numId w:val="6"/>
        </w:numPr>
        <w:spacing w:before="100" w:beforeAutospacing="1" w:after="100" w:afterAutospacing="1"/>
        <w:rPr>
          <w:rFonts w:ascii="Trebuchet MS" w:eastAsia="Times New Roman" w:hAnsi="Trebuchet MS" w:cs="Times New Roman"/>
          <w:sz w:val="22"/>
          <w:szCs w:val="22"/>
          <w:lang w:val="fr-CA"/>
        </w:rPr>
      </w:pPr>
      <w:r w:rsidRPr="0090233D">
        <w:rPr>
          <w:rFonts w:ascii="Trebuchet MS" w:eastAsia="Times New Roman" w:hAnsi="Trebuchet MS" w:cs="Arial"/>
          <w:sz w:val="22"/>
          <w:szCs w:val="22"/>
          <w:lang w:val="fr-CA"/>
        </w:rPr>
        <w:t xml:space="preserve">etc. </w:t>
      </w:r>
    </w:p>
    <w:p w14:paraId="165AE507" w14:textId="77777777" w:rsidR="00100447" w:rsidRPr="0090233D" w:rsidRDefault="00100447" w:rsidP="00100447">
      <w:pPr>
        <w:spacing w:before="100" w:beforeAutospacing="1" w:after="100" w:afterAutospacing="1"/>
        <w:rPr>
          <w:rFonts w:ascii="Trebuchet MS" w:hAnsi="Trebuchet MS" w:cs="Times New Roman"/>
          <w:sz w:val="22"/>
          <w:szCs w:val="22"/>
          <w:lang w:val="fr-CA"/>
        </w:rPr>
      </w:pPr>
      <w:r w:rsidRPr="0090233D">
        <w:rPr>
          <w:rFonts w:ascii="Trebuchet MS" w:hAnsi="Trebuchet MS" w:cs="Arial"/>
          <w:sz w:val="22"/>
          <w:szCs w:val="22"/>
          <w:lang w:val="fr-CA"/>
        </w:rPr>
        <w:t xml:space="preserve">Ainsi, selon le cas, votre </w:t>
      </w:r>
      <w:r>
        <w:rPr>
          <w:rFonts w:ascii="Trebuchet MS" w:hAnsi="Trebuchet MS" w:cs="Arial"/>
          <w:sz w:val="22"/>
          <w:szCs w:val="22"/>
          <w:lang w:val="fr-CA"/>
        </w:rPr>
        <w:t>tuteur</w:t>
      </w:r>
      <w:r w:rsidRPr="0090233D">
        <w:rPr>
          <w:rFonts w:ascii="Trebuchet MS" w:hAnsi="Trebuchet MS" w:cs="Arial"/>
          <w:sz w:val="22"/>
          <w:szCs w:val="22"/>
          <w:lang w:val="fr-CA"/>
        </w:rPr>
        <w:t xml:space="preserve"> pourra faire la lumière sur ce qui vous pose problème ou vous apportera un complément d'information, de façon à vous assurer un cheminement le plus harmonieux possible. Profitez de cette première prise de contact pour vous assurer d'avoir bien saisi les divers aspects du cours. </w:t>
      </w:r>
    </w:p>
    <w:p w14:paraId="3810ECD3" w14:textId="77777777" w:rsidR="00100447" w:rsidRPr="0090233D" w:rsidRDefault="00100447" w:rsidP="00100447">
      <w:pPr>
        <w:spacing w:before="100" w:beforeAutospacing="1" w:after="100" w:afterAutospacing="1"/>
        <w:rPr>
          <w:rFonts w:ascii="Trebuchet MS" w:hAnsi="Trebuchet MS" w:cs="Times New Roman"/>
          <w:sz w:val="22"/>
          <w:szCs w:val="22"/>
          <w:lang w:val="fr-CA"/>
        </w:rPr>
      </w:pPr>
      <w:r w:rsidRPr="0090233D">
        <w:rPr>
          <w:rFonts w:ascii="Trebuchet MS" w:hAnsi="Trebuchet MS" w:cs="Arial"/>
          <w:sz w:val="22"/>
          <w:szCs w:val="22"/>
          <w:lang w:val="fr-CA"/>
        </w:rPr>
        <w:t>Ce premier contact est très important.</w:t>
      </w:r>
    </w:p>
    <w:p w14:paraId="7C5A25BA" w14:textId="77777777" w:rsidR="00100447" w:rsidRPr="0090233D" w:rsidRDefault="00100447" w:rsidP="00100447">
      <w:pPr>
        <w:spacing w:before="100" w:beforeAutospacing="1" w:after="100" w:afterAutospacing="1"/>
        <w:rPr>
          <w:rFonts w:ascii="Trebuchet MS" w:hAnsi="Trebuchet MS" w:cs="Times New Roman"/>
          <w:sz w:val="22"/>
          <w:szCs w:val="22"/>
          <w:lang w:val="fr-CA"/>
        </w:rPr>
      </w:pPr>
      <w:r w:rsidRPr="0090233D">
        <w:rPr>
          <w:rFonts w:ascii="Trebuchet MS" w:hAnsi="Trebuchet MS" w:cs="Arial"/>
          <w:sz w:val="22"/>
          <w:szCs w:val="22"/>
          <w:lang w:val="fr-CA"/>
        </w:rPr>
        <w:t xml:space="preserve">Les interactions entre le </w:t>
      </w:r>
      <w:r>
        <w:rPr>
          <w:rFonts w:ascii="Trebuchet MS" w:hAnsi="Trebuchet MS" w:cs="Arial"/>
          <w:sz w:val="22"/>
          <w:szCs w:val="22"/>
          <w:lang w:val="fr-CA"/>
        </w:rPr>
        <w:t>tuteur</w:t>
      </w:r>
      <w:r w:rsidRPr="0090233D">
        <w:rPr>
          <w:rFonts w:ascii="Trebuchet MS" w:hAnsi="Trebuchet MS" w:cs="Arial"/>
          <w:sz w:val="22"/>
          <w:szCs w:val="22"/>
          <w:lang w:val="fr-CA"/>
        </w:rPr>
        <w:t xml:space="preserve"> et vous s'ét</w:t>
      </w:r>
      <w:r>
        <w:rPr>
          <w:rFonts w:ascii="Trebuchet MS" w:hAnsi="Trebuchet MS" w:cs="Arial"/>
          <w:sz w:val="22"/>
          <w:szCs w:val="22"/>
          <w:lang w:val="fr-CA"/>
        </w:rPr>
        <w:t>ablissent principalement par courrier électronique. Si nécessaire, un rendez-vous téléphonique peut être organisé. Vous pouvez intervenir en tout tems sur le forum du cours.</w:t>
      </w:r>
    </w:p>
    <w:p w14:paraId="296650ED" w14:textId="77777777" w:rsidR="00100447" w:rsidRDefault="00100447" w:rsidP="00100447">
      <w:pPr>
        <w:pStyle w:val="Titre2"/>
      </w:pPr>
      <w:bookmarkStart w:id="9" w:name="_Toc198948898"/>
      <w:r>
        <w:t>Évaluation</w:t>
      </w:r>
      <w:bookmarkEnd w:id="9"/>
    </w:p>
    <w:p w14:paraId="553B4D6B" w14:textId="77777777" w:rsidR="00100447" w:rsidRDefault="00100447" w:rsidP="00100447"/>
    <w:p w14:paraId="004114EB" w14:textId="77777777" w:rsidR="00B95159" w:rsidRDefault="00B95159" w:rsidP="00F46695">
      <w:pPr>
        <w:jc w:val="both"/>
      </w:pPr>
      <w:bookmarkStart w:id="10" w:name="_Toc198948899"/>
      <w:r>
        <w:t xml:space="preserve">La résolution des cas compte pour 20% de la note globale du cours. </w:t>
      </w:r>
    </w:p>
    <w:p w14:paraId="5BCC1DD6" w14:textId="77777777" w:rsidR="00B95159" w:rsidRDefault="00B95159" w:rsidP="00F46695">
      <w:pPr>
        <w:jc w:val="both"/>
      </w:pPr>
      <w:r>
        <w:t xml:space="preserve">Vous devez vous inscrire à l’évaluation certificative avec l’inscription au cours. Vous devez choisir la date et l’endroit. L’évaluation compte pour 80% de la note globale. </w:t>
      </w:r>
    </w:p>
    <w:p w14:paraId="40A189DD" w14:textId="77777777" w:rsidR="00B95159" w:rsidRPr="00C442CD" w:rsidRDefault="00B95159" w:rsidP="00F46695">
      <w:pPr>
        <w:jc w:val="both"/>
      </w:pPr>
      <w:r w:rsidRPr="002C6D48">
        <w:rPr>
          <w:highlight w:val="yellow"/>
        </w:rPr>
        <w:t>Vous pouvez annuler votre examen xx jours avant la date de l’examen sans frais. Si vous annulez votre examen plus tard que xx jours, il y aura une pénalité de XX $. Vous devez, par contre, faire l’évaluation certificative avant la fin de la session durant laquelle vous vous êtes inscrits.</w:t>
      </w:r>
    </w:p>
    <w:p w14:paraId="0BB38D1D" w14:textId="77777777" w:rsidR="00D16D74" w:rsidRDefault="00D16D74" w:rsidP="00D16D74">
      <w:pPr>
        <w:pStyle w:val="Titre2"/>
      </w:pPr>
      <w:bookmarkStart w:id="11" w:name="_Toc198948904"/>
      <w:bookmarkEnd w:id="10"/>
      <w:r>
        <w:t>Autres ressources</w:t>
      </w:r>
    </w:p>
    <w:p w14:paraId="0239440A" w14:textId="77777777" w:rsidR="00D16D74" w:rsidRDefault="00D16D74" w:rsidP="00D16D74"/>
    <w:p w14:paraId="69F3F771" w14:textId="77777777" w:rsidR="00D16D74" w:rsidRPr="002555BC" w:rsidRDefault="00D16D74" w:rsidP="00D16D74">
      <w:r w:rsidRPr="00C65F28">
        <w:rPr>
          <w:highlight w:val="yellow"/>
        </w:rPr>
        <w:t>Quelles seront les ressources communiquées à l’apprenant ?</w:t>
      </w:r>
    </w:p>
    <w:p w14:paraId="4F6892A7" w14:textId="77777777" w:rsidR="00D16D74" w:rsidRDefault="00D16D74" w:rsidP="00D16D74">
      <w:pPr>
        <w:pStyle w:val="Titre2"/>
      </w:pPr>
      <w:bookmarkStart w:id="12" w:name="_Toc198948900"/>
      <w:r>
        <w:t>Autoévaluation de l’apprenant au début du cours</w:t>
      </w:r>
      <w:bookmarkEnd w:id="12"/>
    </w:p>
    <w:p w14:paraId="79CEF106" w14:textId="77777777" w:rsidR="00D16D74" w:rsidRDefault="00D16D74" w:rsidP="00D16D74"/>
    <w:p w14:paraId="130163A6" w14:textId="77777777" w:rsidR="00D16D74" w:rsidRPr="00157ED3" w:rsidRDefault="00D16D74" w:rsidP="00D16D74">
      <w:pPr>
        <w:rPr>
          <w:i/>
        </w:rPr>
      </w:pPr>
      <w:r>
        <w:rPr>
          <w:i/>
        </w:rPr>
        <w:t xml:space="preserve">Monter une activité Test </w:t>
      </w:r>
      <w:r w:rsidRPr="00157ED3">
        <w:rPr>
          <w:i/>
        </w:rPr>
        <w:t xml:space="preserve">dans </w:t>
      </w:r>
      <w:proofErr w:type="spellStart"/>
      <w:r w:rsidRPr="00157ED3">
        <w:rPr>
          <w:i/>
        </w:rPr>
        <w:t>StudiUM</w:t>
      </w:r>
      <w:proofErr w:type="spellEnd"/>
    </w:p>
    <w:p w14:paraId="3758A382" w14:textId="77777777" w:rsidR="00D16D74" w:rsidRDefault="00D16D74" w:rsidP="00D16D74">
      <w:pPr>
        <w:pStyle w:val="Titre2"/>
      </w:pPr>
      <w:bookmarkStart w:id="13" w:name="_Toc198948901"/>
      <w:r>
        <w:t>Connaissances et questions de l’apprenant sur le cours</w:t>
      </w:r>
      <w:bookmarkEnd w:id="13"/>
    </w:p>
    <w:p w14:paraId="5E8581A6" w14:textId="77777777" w:rsidR="00D16D74" w:rsidRDefault="00D16D74" w:rsidP="00D16D74"/>
    <w:p w14:paraId="42CBABD3" w14:textId="77777777" w:rsidR="00D16D74" w:rsidRPr="00C65F28" w:rsidRDefault="00D16D74" w:rsidP="00D16D74">
      <w:pPr>
        <w:rPr>
          <w:i/>
        </w:rPr>
      </w:pPr>
      <w:r w:rsidRPr="00C65F28">
        <w:rPr>
          <w:i/>
        </w:rPr>
        <w:t xml:space="preserve">Monter une activité Devoir dans </w:t>
      </w:r>
      <w:proofErr w:type="spellStart"/>
      <w:r w:rsidRPr="00C65F28">
        <w:rPr>
          <w:i/>
        </w:rPr>
        <w:t>StudiUM</w:t>
      </w:r>
      <w:proofErr w:type="spellEnd"/>
    </w:p>
    <w:p w14:paraId="1A8B946C" w14:textId="2FD07D54" w:rsidR="00D16D74" w:rsidRDefault="00D16D74" w:rsidP="00D16D74">
      <w:pPr>
        <w:pStyle w:val="Titre2"/>
      </w:pPr>
      <w:r>
        <w:t xml:space="preserve">Courriel envoyé </w:t>
      </w:r>
      <w:r w:rsidR="00F46695">
        <w:t>par votre tuteur</w:t>
      </w:r>
      <w:bookmarkStart w:id="14" w:name="_GoBack"/>
      <w:bookmarkEnd w:id="14"/>
    </w:p>
    <w:p w14:paraId="77C9B3BF" w14:textId="77777777" w:rsidR="00D16D74" w:rsidRDefault="00D16D74" w:rsidP="00D16D74"/>
    <w:p w14:paraId="10018F4A" w14:textId="77777777" w:rsidR="00D16D74" w:rsidRPr="00157ED3" w:rsidRDefault="00D16D74" w:rsidP="00D16D74">
      <w:pPr>
        <w:jc w:val="both"/>
      </w:pPr>
      <w:r>
        <w:t>Au terme de l’introduction de ce cours, votre tuteur entrera en contact avec vous par le biais d’un courriel.  Vous pourrez à ce moment convenir de la nécessité d’une rencontre téléphonique si nécessaire.</w:t>
      </w:r>
    </w:p>
    <w:p w14:paraId="26E2C8C0" w14:textId="77777777" w:rsidR="00D16D74" w:rsidRDefault="00D16D74" w:rsidP="00D16D74">
      <w:pPr>
        <w:pStyle w:val="Titre2"/>
      </w:pPr>
      <w:bookmarkStart w:id="15" w:name="_Toc198948903"/>
      <w:r>
        <w:t>Feuille de route</w:t>
      </w:r>
      <w:bookmarkEnd w:id="15"/>
    </w:p>
    <w:p w14:paraId="653C306F" w14:textId="77777777" w:rsidR="00D16D74" w:rsidRDefault="00D16D74" w:rsidP="00D16D74"/>
    <w:p w14:paraId="511B057D" w14:textId="77777777" w:rsidR="00D16D74" w:rsidRDefault="00D16D74" w:rsidP="00D16D74">
      <w:pPr>
        <w:jc w:val="both"/>
      </w:pPr>
      <w:r>
        <w:t xml:space="preserve">Une feuille de route vous est proposée pour ce cours.  Vous restez entièrement libre de décider de la manière dont vous désirez aborder le cours toutefois, nous vous recommandons fortement de suivre le déroulement proposé.  La raison est qu’il se peut que certains cas rencontrés dans une UA se continuent dans la UA suivante.   </w:t>
      </w:r>
    </w:p>
    <w:p w14:paraId="14AE6D38" w14:textId="77777777" w:rsidR="00D16D74" w:rsidRDefault="00D16D74" w:rsidP="00D16D74"/>
    <w:tbl>
      <w:tblPr>
        <w:tblStyle w:val="Grille"/>
        <w:tblW w:w="0" w:type="auto"/>
        <w:tblLook w:val="04A0" w:firstRow="1" w:lastRow="0" w:firstColumn="1" w:lastColumn="0" w:noHBand="0" w:noVBand="1"/>
      </w:tblPr>
      <w:tblGrid>
        <w:gridCol w:w="1550"/>
        <w:gridCol w:w="4087"/>
        <w:gridCol w:w="1984"/>
        <w:gridCol w:w="1701"/>
      </w:tblGrid>
      <w:tr w:rsidR="00D16D74" w:rsidRPr="00157ED3" w14:paraId="260064ED" w14:textId="77777777" w:rsidTr="00C70FE8">
        <w:tc>
          <w:tcPr>
            <w:tcW w:w="1550" w:type="dxa"/>
          </w:tcPr>
          <w:p w14:paraId="02A0CAE6" w14:textId="77777777" w:rsidR="00D16D74" w:rsidRPr="00157ED3" w:rsidRDefault="00D16D74" w:rsidP="00C70FE8">
            <w:pPr>
              <w:rPr>
                <w:b/>
              </w:rPr>
            </w:pPr>
            <w:r w:rsidRPr="00157ED3">
              <w:rPr>
                <w:b/>
              </w:rPr>
              <w:t>Semaines</w:t>
            </w:r>
          </w:p>
        </w:tc>
        <w:tc>
          <w:tcPr>
            <w:tcW w:w="4087" w:type="dxa"/>
          </w:tcPr>
          <w:p w14:paraId="6D948CF4" w14:textId="77777777" w:rsidR="00D16D74" w:rsidRPr="00157ED3" w:rsidRDefault="00D16D74" w:rsidP="00C70FE8">
            <w:pPr>
              <w:rPr>
                <w:b/>
              </w:rPr>
            </w:pPr>
            <w:r w:rsidRPr="00157ED3">
              <w:rPr>
                <w:b/>
              </w:rPr>
              <w:t>Contenu</w:t>
            </w:r>
          </w:p>
        </w:tc>
        <w:tc>
          <w:tcPr>
            <w:tcW w:w="1984" w:type="dxa"/>
          </w:tcPr>
          <w:p w14:paraId="76F05DB5" w14:textId="77777777" w:rsidR="00D16D74" w:rsidRPr="00157ED3" w:rsidRDefault="00D16D74" w:rsidP="00C70FE8">
            <w:pPr>
              <w:rPr>
                <w:b/>
              </w:rPr>
            </w:pPr>
            <w:r w:rsidRPr="00157ED3">
              <w:rPr>
                <w:b/>
              </w:rPr>
              <w:t>Activités d’apprentissage</w:t>
            </w:r>
          </w:p>
        </w:tc>
        <w:tc>
          <w:tcPr>
            <w:tcW w:w="1701" w:type="dxa"/>
          </w:tcPr>
          <w:p w14:paraId="7E47DD44" w14:textId="77777777" w:rsidR="00D16D74" w:rsidRPr="00157ED3" w:rsidRDefault="00D16D74" w:rsidP="00C70FE8">
            <w:pPr>
              <w:rPr>
                <w:b/>
              </w:rPr>
            </w:pPr>
            <w:r w:rsidRPr="00157ED3">
              <w:rPr>
                <w:b/>
              </w:rPr>
              <w:t>Durée</w:t>
            </w:r>
          </w:p>
        </w:tc>
      </w:tr>
      <w:tr w:rsidR="00D16D74" w14:paraId="654B9A83" w14:textId="77777777" w:rsidTr="00C70FE8">
        <w:tc>
          <w:tcPr>
            <w:tcW w:w="9322" w:type="dxa"/>
            <w:gridSpan w:val="4"/>
          </w:tcPr>
          <w:p w14:paraId="782CAF3C" w14:textId="77777777" w:rsidR="00D16D74" w:rsidRDefault="00D16D74" w:rsidP="00C70FE8">
            <w:r>
              <w:t>Présentation</w:t>
            </w:r>
          </w:p>
        </w:tc>
      </w:tr>
      <w:tr w:rsidR="00D16D74" w14:paraId="28CA11DD" w14:textId="77777777" w:rsidTr="00C70FE8">
        <w:tc>
          <w:tcPr>
            <w:tcW w:w="1550" w:type="dxa"/>
          </w:tcPr>
          <w:p w14:paraId="20738E66" w14:textId="77777777" w:rsidR="00D16D74" w:rsidRDefault="00D16D74" w:rsidP="00C70FE8"/>
        </w:tc>
        <w:tc>
          <w:tcPr>
            <w:tcW w:w="4087" w:type="dxa"/>
          </w:tcPr>
          <w:p w14:paraId="0C2AADBC" w14:textId="77777777" w:rsidR="00D16D74" w:rsidRDefault="00D16D74" w:rsidP="00C70FE8"/>
        </w:tc>
        <w:tc>
          <w:tcPr>
            <w:tcW w:w="1984" w:type="dxa"/>
          </w:tcPr>
          <w:p w14:paraId="5C57AE22" w14:textId="77777777" w:rsidR="00D16D74" w:rsidRDefault="00D16D74" w:rsidP="00C70FE8">
            <w:r>
              <w:t>Lecture</w:t>
            </w:r>
          </w:p>
        </w:tc>
        <w:tc>
          <w:tcPr>
            <w:tcW w:w="1701" w:type="dxa"/>
          </w:tcPr>
          <w:p w14:paraId="2AC027F8" w14:textId="77777777" w:rsidR="00D16D74" w:rsidRDefault="00D16D74" w:rsidP="00C70FE8">
            <w:r>
              <w:t>1 heure</w:t>
            </w:r>
          </w:p>
        </w:tc>
      </w:tr>
      <w:tr w:rsidR="00D16D74" w14:paraId="2DD25BF3" w14:textId="77777777" w:rsidTr="00C70FE8">
        <w:tc>
          <w:tcPr>
            <w:tcW w:w="9322" w:type="dxa"/>
            <w:gridSpan w:val="4"/>
          </w:tcPr>
          <w:p w14:paraId="6B1C0AAC" w14:textId="77777777" w:rsidR="00D16D74" w:rsidRDefault="00D16D74" w:rsidP="00C70FE8">
            <w:r>
              <w:t>UA 1</w:t>
            </w:r>
          </w:p>
        </w:tc>
      </w:tr>
      <w:tr w:rsidR="00D16D74" w14:paraId="18636917" w14:textId="77777777" w:rsidTr="00C70FE8">
        <w:tc>
          <w:tcPr>
            <w:tcW w:w="1550" w:type="dxa"/>
          </w:tcPr>
          <w:p w14:paraId="7A1E4FAB" w14:textId="77777777" w:rsidR="00D16D74" w:rsidRDefault="00D16D74" w:rsidP="00C70FE8"/>
        </w:tc>
        <w:tc>
          <w:tcPr>
            <w:tcW w:w="4087" w:type="dxa"/>
          </w:tcPr>
          <w:p w14:paraId="77E33D84" w14:textId="77777777" w:rsidR="00D16D74" w:rsidRDefault="00D16D74" w:rsidP="00C70FE8"/>
        </w:tc>
        <w:tc>
          <w:tcPr>
            <w:tcW w:w="1984" w:type="dxa"/>
          </w:tcPr>
          <w:p w14:paraId="63BBEE75" w14:textId="77777777" w:rsidR="00D16D74" w:rsidRDefault="00D16D74" w:rsidP="00C70FE8"/>
        </w:tc>
        <w:tc>
          <w:tcPr>
            <w:tcW w:w="1701" w:type="dxa"/>
          </w:tcPr>
          <w:p w14:paraId="3BB7E1EF" w14:textId="77777777" w:rsidR="00D16D74" w:rsidRDefault="00D16D74" w:rsidP="00C70FE8"/>
        </w:tc>
      </w:tr>
      <w:tr w:rsidR="00D16D74" w14:paraId="70A6BC9B" w14:textId="77777777" w:rsidTr="00C70FE8">
        <w:tc>
          <w:tcPr>
            <w:tcW w:w="1550" w:type="dxa"/>
          </w:tcPr>
          <w:p w14:paraId="38C353F9" w14:textId="77777777" w:rsidR="00D16D74" w:rsidRDefault="00D16D74" w:rsidP="00C70FE8"/>
        </w:tc>
        <w:tc>
          <w:tcPr>
            <w:tcW w:w="4087" w:type="dxa"/>
          </w:tcPr>
          <w:p w14:paraId="38794F46" w14:textId="77777777" w:rsidR="00D16D74" w:rsidRDefault="00D16D74" w:rsidP="00C70FE8"/>
        </w:tc>
        <w:tc>
          <w:tcPr>
            <w:tcW w:w="1984" w:type="dxa"/>
          </w:tcPr>
          <w:p w14:paraId="20E305C6" w14:textId="77777777" w:rsidR="00D16D74" w:rsidRDefault="00D16D74" w:rsidP="00C70FE8"/>
        </w:tc>
        <w:tc>
          <w:tcPr>
            <w:tcW w:w="1701" w:type="dxa"/>
          </w:tcPr>
          <w:p w14:paraId="40615280" w14:textId="77777777" w:rsidR="00D16D74" w:rsidRDefault="00D16D74" w:rsidP="00C70FE8"/>
        </w:tc>
      </w:tr>
      <w:tr w:rsidR="00D16D74" w14:paraId="283EF9E4" w14:textId="77777777" w:rsidTr="00C70FE8">
        <w:tc>
          <w:tcPr>
            <w:tcW w:w="9322" w:type="dxa"/>
            <w:gridSpan w:val="4"/>
          </w:tcPr>
          <w:p w14:paraId="479E8AC8" w14:textId="77777777" w:rsidR="00D16D74" w:rsidRDefault="00D16D74" w:rsidP="00C70FE8">
            <w:r>
              <w:t>UA x</w:t>
            </w:r>
          </w:p>
        </w:tc>
      </w:tr>
      <w:tr w:rsidR="00D16D74" w14:paraId="254663D8" w14:textId="77777777" w:rsidTr="00C70FE8">
        <w:tc>
          <w:tcPr>
            <w:tcW w:w="1550" w:type="dxa"/>
          </w:tcPr>
          <w:p w14:paraId="13057480" w14:textId="77777777" w:rsidR="00D16D74" w:rsidRDefault="00D16D74" w:rsidP="00C70FE8"/>
        </w:tc>
        <w:tc>
          <w:tcPr>
            <w:tcW w:w="4087" w:type="dxa"/>
          </w:tcPr>
          <w:p w14:paraId="53530FB7" w14:textId="77777777" w:rsidR="00D16D74" w:rsidRDefault="00D16D74" w:rsidP="00C70FE8"/>
        </w:tc>
        <w:tc>
          <w:tcPr>
            <w:tcW w:w="1984" w:type="dxa"/>
          </w:tcPr>
          <w:p w14:paraId="348EC8AE" w14:textId="77777777" w:rsidR="00D16D74" w:rsidRDefault="00D16D74" w:rsidP="00C70FE8"/>
        </w:tc>
        <w:tc>
          <w:tcPr>
            <w:tcW w:w="1701" w:type="dxa"/>
          </w:tcPr>
          <w:p w14:paraId="64B595F2" w14:textId="77777777" w:rsidR="00D16D74" w:rsidRDefault="00D16D74" w:rsidP="00C70FE8"/>
        </w:tc>
      </w:tr>
      <w:tr w:rsidR="00D16D74" w14:paraId="1B63285F" w14:textId="77777777" w:rsidTr="00C70FE8">
        <w:tc>
          <w:tcPr>
            <w:tcW w:w="1550" w:type="dxa"/>
          </w:tcPr>
          <w:p w14:paraId="187123C6" w14:textId="77777777" w:rsidR="00D16D74" w:rsidRDefault="00D16D74" w:rsidP="00C70FE8"/>
        </w:tc>
        <w:tc>
          <w:tcPr>
            <w:tcW w:w="4087" w:type="dxa"/>
          </w:tcPr>
          <w:p w14:paraId="47760F4A" w14:textId="77777777" w:rsidR="00D16D74" w:rsidRDefault="00D16D74" w:rsidP="00C70FE8"/>
        </w:tc>
        <w:tc>
          <w:tcPr>
            <w:tcW w:w="1984" w:type="dxa"/>
          </w:tcPr>
          <w:p w14:paraId="173551BE" w14:textId="77777777" w:rsidR="00D16D74" w:rsidRDefault="00D16D74" w:rsidP="00C70FE8"/>
        </w:tc>
        <w:tc>
          <w:tcPr>
            <w:tcW w:w="1701" w:type="dxa"/>
          </w:tcPr>
          <w:p w14:paraId="738DA0EA" w14:textId="77777777" w:rsidR="00D16D74" w:rsidRDefault="00D16D74" w:rsidP="00C70FE8"/>
        </w:tc>
      </w:tr>
      <w:tr w:rsidR="00D16D74" w14:paraId="02E31F0C" w14:textId="77777777" w:rsidTr="00C70FE8">
        <w:tc>
          <w:tcPr>
            <w:tcW w:w="9322" w:type="dxa"/>
            <w:gridSpan w:val="4"/>
          </w:tcPr>
          <w:p w14:paraId="461085A0" w14:textId="77777777" w:rsidR="00D16D74" w:rsidRDefault="00D16D74" w:rsidP="00C70FE8">
            <w:r>
              <w:t>Activité synthèse</w:t>
            </w:r>
          </w:p>
        </w:tc>
      </w:tr>
      <w:tr w:rsidR="00D16D74" w14:paraId="168EE880" w14:textId="77777777" w:rsidTr="00C70FE8">
        <w:tc>
          <w:tcPr>
            <w:tcW w:w="1550" w:type="dxa"/>
          </w:tcPr>
          <w:p w14:paraId="5E2AD39E" w14:textId="77777777" w:rsidR="00D16D74" w:rsidRDefault="00D16D74" w:rsidP="00C70FE8"/>
        </w:tc>
        <w:tc>
          <w:tcPr>
            <w:tcW w:w="4087" w:type="dxa"/>
          </w:tcPr>
          <w:p w14:paraId="2C054073" w14:textId="77777777" w:rsidR="00D16D74" w:rsidRDefault="00D16D74" w:rsidP="00C70FE8"/>
        </w:tc>
        <w:tc>
          <w:tcPr>
            <w:tcW w:w="1984" w:type="dxa"/>
          </w:tcPr>
          <w:p w14:paraId="60864368" w14:textId="77777777" w:rsidR="00D16D74" w:rsidRDefault="00D16D74" w:rsidP="00C70FE8"/>
        </w:tc>
        <w:tc>
          <w:tcPr>
            <w:tcW w:w="1701" w:type="dxa"/>
          </w:tcPr>
          <w:p w14:paraId="19D4DF80" w14:textId="77777777" w:rsidR="00D16D74" w:rsidRDefault="00D16D74" w:rsidP="00C70FE8"/>
        </w:tc>
      </w:tr>
      <w:tr w:rsidR="00D16D74" w14:paraId="02865807" w14:textId="77777777" w:rsidTr="00C70FE8">
        <w:tc>
          <w:tcPr>
            <w:tcW w:w="9322" w:type="dxa"/>
            <w:gridSpan w:val="4"/>
          </w:tcPr>
          <w:p w14:paraId="037A366B" w14:textId="77777777" w:rsidR="00D16D74" w:rsidRDefault="00D16D74" w:rsidP="00C70FE8">
            <w:r>
              <w:t>Conclusion du cours</w:t>
            </w:r>
          </w:p>
        </w:tc>
      </w:tr>
      <w:tr w:rsidR="00D16D74" w14:paraId="47EA41A0" w14:textId="77777777" w:rsidTr="00C70FE8">
        <w:tc>
          <w:tcPr>
            <w:tcW w:w="1550" w:type="dxa"/>
          </w:tcPr>
          <w:p w14:paraId="76EBBE03" w14:textId="77777777" w:rsidR="00D16D74" w:rsidRDefault="00D16D74" w:rsidP="00C70FE8"/>
        </w:tc>
        <w:tc>
          <w:tcPr>
            <w:tcW w:w="4087" w:type="dxa"/>
          </w:tcPr>
          <w:p w14:paraId="4CE55F25" w14:textId="77777777" w:rsidR="00D16D74" w:rsidRDefault="00D16D74" w:rsidP="00C70FE8"/>
        </w:tc>
        <w:tc>
          <w:tcPr>
            <w:tcW w:w="1984" w:type="dxa"/>
          </w:tcPr>
          <w:p w14:paraId="167FE822" w14:textId="77777777" w:rsidR="00D16D74" w:rsidRDefault="00D16D74" w:rsidP="00C70FE8"/>
        </w:tc>
        <w:tc>
          <w:tcPr>
            <w:tcW w:w="1701" w:type="dxa"/>
          </w:tcPr>
          <w:p w14:paraId="43F92416" w14:textId="77777777" w:rsidR="00D16D74" w:rsidRDefault="00D16D74" w:rsidP="00C70FE8"/>
        </w:tc>
      </w:tr>
      <w:tr w:rsidR="00D16D74" w14:paraId="54F43ABD" w14:textId="77777777" w:rsidTr="00C70FE8">
        <w:tc>
          <w:tcPr>
            <w:tcW w:w="9322" w:type="dxa"/>
            <w:gridSpan w:val="4"/>
          </w:tcPr>
          <w:p w14:paraId="00E4649B" w14:textId="77777777" w:rsidR="00D16D74" w:rsidRDefault="00D16D74" w:rsidP="00C70FE8">
            <w:r>
              <w:t>Préparation à l’évaluation certificative et passation</w:t>
            </w:r>
          </w:p>
        </w:tc>
      </w:tr>
      <w:tr w:rsidR="00D16D74" w14:paraId="0679D5E9" w14:textId="77777777" w:rsidTr="00C70FE8">
        <w:tc>
          <w:tcPr>
            <w:tcW w:w="1550" w:type="dxa"/>
          </w:tcPr>
          <w:p w14:paraId="387E59DA" w14:textId="77777777" w:rsidR="00D16D74" w:rsidRDefault="00D16D74" w:rsidP="00C70FE8"/>
        </w:tc>
        <w:tc>
          <w:tcPr>
            <w:tcW w:w="4087" w:type="dxa"/>
          </w:tcPr>
          <w:p w14:paraId="6249C26E" w14:textId="77777777" w:rsidR="00D16D74" w:rsidRDefault="00D16D74" w:rsidP="00C70FE8"/>
        </w:tc>
        <w:tc>
          <w:tcPr>
            <w:tcW w:w="1984" w:type="dxa"/>
          </w:tcPr>
          <w:p w14:paraId="42B4E5AE" w14:textId="77777777" w:rsidR="00D16D74" w:rsidRDefault="00D16D74" w:rsidP="00C70FE8"/>
        </w:tc>
        <w:tc>
          <w:tcPr>
            <w:tcW w:w="1701" w:type="dxa"/>
          </w:tcPr>
          <w:p w14:paraId="30DC1762" w14:textId="77777777" w:rsidR="00D16D74" w:rsidRDefault="00D16D74" w:rsidP="00C70FE8"/>
        </w:tc>
      </w:tr>
      <w:tr w:rsidR="00D16D74" w14:paraId="784C7982" w14:textId="77777777" w:rsidTr="00C70FE8">
        <w:tc>
          <w:tcPr>
            <w:tcW w:w="1550" w:type="dxa"/>
          </w:tcPr>
          <w:p w14:paraId="0B0FEDD1" w14:textId="77777777" w:rsidR="00D16D74" w:rsidRDefault="00D16D74" w:rsidP="00C70FE8"/>
        </w:tc>
        <w:tc>
          <w:tcPr>
            <w:tcW w:w="4087" w:type="dxa"/>
          </w:tcPr>
          <w:p w14:paraId="7D2317CE" w14:textId="77777777" w:rsidR="00D16D74" w:rsidRDefault="00D16D74" w:rsidP="00C70FE8"/>
        </w:tc>
        <w:tc>
          <w:tcPr>
            <w:tcW w:w="1984" w:type="dxa"/>
          </w:tcPr>
          <w:p w14:paraId="46553278" w14:textId="77777777" w:rsidR="00D16D74" w:rsidRDefault="00D16D74" w:rsidP="00C70FE8"/>
        </w:tc>
        <w:tc>
          <w:tcPr>
            <w:tcW w:w="1701" w:type="dxa"/>
          </w:tcPr>
          <w:p w14:paraId="4D7E1084" w14:textId="77777777" w:rsidR="00D16D74" w:rsidRDefault="00D16D74" w:rsidP="00C70FE8"/>
        </w:tc>
      </w:tr>
      <w:tr w:rsidR="00D16D74" w14:paraId="671D9D81" w14:textId="77777777" w:rsidTr="00C70FE8">
        <w:tc>
          <w:tcPr>
            <w:tcW w:w="1550" w:type="dxa"/>
          </w:tcPr>
          <w:p w14:paraId="28DE5D19" w14:textId="77777777" w:rsidR="00D16D74" w:rsidRDefault="00D16D74" w:rsidP="00C70FE8"/>
        </w:tc>
        <w:tc>
          <w:tcPr>
            <w:tcW w:w="4087" w:type="dxa"/>
          </w:tcPr>
          <w:p w14:paraId="75A65F12" w14:textId="77777777" w:rsidR="00D16D74" w:rsidRDefault="00D16D74" w:rsidP="00C70FE8"/>
        </w:tc>
        <w:tc>
          <w:tcPr>
            <w:tcW w:w="1984" w:type="dxa"/>
          </w:tcPr>
          <w:p w14:paraId="0A9A3153" w14:textId="77777777" w:rsidR="00D16D74" w:rsidRDefault="00D16D74" w:rsidP="00C70FE8"/>
        </w:tc>
        <w:tc>
          <w:tcPr>
            <w:tcW w:w="1701" w:type="dxa"/>
          </w:tcPr>
          <w:p w14:paraId="5862F353" w14:textId="77777777" w:rsidR="00D16D74" w:rsidRDefault="00D16D74" w:rsidP="00C70FE8"/>
        </w:tc>
      </w:tr>
      <w:tr w:rsidR="00D16D74" w14:paraId="4F8F5D88" w14:textId="77777777" w:rsidTr="00C70FE8">
        <w:tc>
          <w:tcPr>
            <w:tcW w:w="1550" w:type="dxa"/>
          </w:tcPr>
          <w:p w14:paraId="76303C58" w14:textId="77777777" w:rsidR="00D16D74" w:rsidRDefault="00D16D74" w:rsidP="00C70FE8"/>
        </w:tc>
        <w:tc>
          <w:tcPr>
            <w:tcW w:w="4087" w:type="dxa"/>
          </w:tcPr>
          <w:p w14:paraId="3387FE0C" w14:textId="77777777" w:rsidR="00D16D74" w:rsidRDefault="00D16D74" w:rsidP="00C70FE8"/>
        </w:tc>
        <w:tc>
          <w:tcPr>
            <w:tcW w:w="1984" w:type="dxa"/>
          </w:tcPr>
          <w:p w14:paraId="0329D26D" w14:textId="77777777" w:rsidR="00D16D74" w:rsidRDefault="00D16D74" w:rsidP="00C70FE8"/>
        </w:tc>
        <w:tc>
          <w:tcPr>
            <w:tcW w:w="1701" w:type="dxa"/>
          </w:tcPr>
          <w:p w14:paraId="767A5EAF" w14:textId="77777777" w:rsidR="00D16D74" w:rsidRDefault="00D16D74" w:rsidP="00C70FE8"/>
        </w:tc>
      </w:tr>
    </w:tbl>
    <w:p w14:paraId="4A0401D9" w14:textId="77777777" w:rsidR="00D16D74" w:rsidRPr="00157ED3" w:rsidRDefault="00D16D74" w:rsidP="00D16D74"/>
    <w:p w14:paraId="681E9C46" w14:textId="77777777" w:rsidR="00100447" w:rsidRDefault="00100447" w:rsidP="00100447">
      <w:pPr>
        <w:pStyle w:val="Titre2"/>
        <w:rPr>
          <w:color w:val="008000"/>
        </w:rPr>
      </w:pPr>
      <w:r>
        <w:rPr>
          <w:color w:val="008000"/>
        </w:rPr>
        <w:t>Guide du tuteur pour l’introduction de l’apprenant</w:t>
      </w:r>
      <w:bookmarkEnd w:id="11"/>
    </w:p>
    <w:p w14:paraId="795E2163" w14:textId="77777777" w:rsidR="00100447" w:rsidRPr="003F1FA8" w:rsidRDefault="00100447" w:rsidP="00100447">
      <w:pPr>
        <w:pStyle w:val="Titre3"/>
        <w:rPr>
          <w:color w:val="008000"/>
        </w:rPr>
      </w:pPr>
      <w:bookmarkStart w:id="16" w:name="_Toc198948905"/>
      <w:r>
        <w:rPr>
          <w:color w:val="008000"/>
        </w:rPr>
        <w:t>Points à tenir compte lors de l’appel téléphonique</w:t>
      </w:r>
      <w:bookmarkEnd w:id="16"/>
    </w:p>
    <w:p w14:paraId="2B33CBC0" w14:textId="77777777" w:rsidR="00330EA0" w:rsidRPr="00330EA0" w:rsidRDefault="00330EA0" w:rsidP="00330EA0"/>
    <w:sectPr w:rsidR="00330EA0" w:rsidRPr="00330EA0" w:rsidSect="00891D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3C5"/>
    <w:multiLevelType w:val="hybridMultilevel"/>
    <w:tmpl w:val="B75A9790"/>
    <w:lvl w:ilvl="0" w:tplc="043CF034">
      <w:numFmt w:val="bullet"/>
      <w:lvlText w:val="-"/>
      <w:lvlJc w:val="left"/>
      <w:pPr>
        <w:ind w:left="1066" w:hanging="360"/>
      </w:pPr>
      <w:rPr>
        <w:rFonts w:ascii="Trebuchet MS" w:eastAsia="Times" w:hAnsi="Trebuchet MS" w:cs="Times New Roman" w:hint="default"/>
      </w:rPr>
    </w:lvl>
    <w:lvl w:ilvl="1" w:tplc="0C0C0003" w:tentative="1">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
    <w:nsid w:val="1C657FFB"/>
    <w:multiLevelType w:val="hybridMultilevel"/>
    <w:tmpl w:val="2D0EE9AE"/>
    <w:lvl w:ilvl="0" w:tplc="D696F5C4">
      <w:start w:val="1"/>
      <w:numFmt w:val="bullet"/>
      <w:lvlText w:val="–"/>
      <w:lvlJc w:val="left"/>
      <w:pPr>
        <w:tabs>
          <w:tab w:val="num" w:pos="786"/>
        </w:tabs>
        <w:ind w:left="786" w:hanging="360"/>
      </w:pPr>
      <w:rPr>
        <w:rFonts w:ascii="Times New Roman" w:hAnsi="Times New Roman" w:hint="default"/>
      </w:rPr>
    </w:lvl>
    <w:lvl w:ilvl="1" w:tplc="040C0019" w:tentative="1">
      <w:start w:val="1"/>
      <w:numFmt w:val="bullet"/>
      <w:lvlText w:val="o"/>
      <w:lvlJc w:val="left"/>
      <w:pPr>
        <w:ind w:left="1436" w:hanging="360"/>
      </w:pPr>
      <w:rPr>
        <w:rFonts w:ascii="Courier New" w:hAnsi="Courier New" w:hint="default"/>
      </w:rPr>
    </w:lvl>
    <w:lvl w:ilvl="2" w:tplc="040C001B" w:tentative="1">
      <w:start w:val="1"/>
      <w:numFmt w:val="bullet"/>
      <w:lvlText w:val=""/>
      <w:lvlJc w:val="left"/>
      <w:pPr>
        <w:ind w:left="2156" w:hanging="360"/>
      </w:pPr>
      <w:rPr>
        <w:rFonts w:ascii="Wingdings" w:hAnsi="Wingdings" w:hint="default"/>
      </w:rPr>
    </w:lvl>
    <w:lvl w:ilvl="3" w:tplc="040C000F" w:tentative="1">
      <w:start w:val="1"/>
      <w:numFmt w:val="bullet"/>
      <w:lvlText w:val=""/>
      <w:lvlJc w:val="left"/>
      <w:pPr>
        <w:ind w:left="2876" w:hanging="360"/>
      </w:pPr>
      <w:rPr>
        <w:rFonts w:ascii="Symbol" w:hAnsi="Symbol" w:hint="default"/>
      </w:rPr>
    </w:lvl>
    <w:lvl w:ilvl="4" w:tplc="040C0019" w:tentative="1">
      <w:start w:val="1"/>
      <w:numFmt w:val="bullet"/>
      <w:lvlText w:val="o"/>
      <w:lvlJc w:val="left"/>
      <w:pPr>
        <w:ind w:left="3596" w:hanging="360"/>
      </w:pPr>
      <w:rPr>
        <w:rFonts w:ascii="Courier New" w:hAnsi="Courier New" w:hint="default"/>
      </w:rPr>
    </w:lvl>
    <w:lvl w:ilvl="5" w:tplc="040C001B" w:tentative="1">
      <w:start w:val="1"/>
      <w:numFmt w:val="bullet"/>
      <w:lvlText w:val=""/>
      <w:lvlJc w:val="left"/>
      <w:pPr>
        <w:ind w:left="4316" w:hanging="360"/>
      </w:pPr>
      <w:rPr>
        <w:rFonts w:ascii="Wingdings" w:hAnsi="Wingdings" w:hint="default"/>
      </w:rPr>
    </w:lvl>
    <w:lvl w:ilvl="6" w:tplc="040C000F" w:tentative="1">
      <w:start w:val="1"/>
      <w:numFmt w:val="bullet"/>
      <w:lvlText w:val=""/>
      <w:lvlJc w:val="left"/>
      <w:pPr>
        <w:ind w:left="5036" w:hanging="360"/>
      </w:pPr>
      <w:rPr>
        <w:rFonts w:ascii="Symbol" w:hAnsi="Symbol" w:hint="default"/>
      </w:rPr>
    </w:lvl>
    <w:lvl w:ilvl="7" w:tplc="040C0019" w:tentative="1">
      <w:start w:val="1"/>
      <w:numFmt w:val="bullet"/>
      <w:lvlText w:val="o"/>
      <w:lvlJc w:val="left"/>
      <w:pPr>
        <w:ind w:left="5756" w:hanging="360"/>
      </w:pPr>
      <w:rPr>
        <w:rFonts w:ascii="Courier New" w:hAnsi="Courier New" w:hint="default"/>
      </w:rPr>
    </w:lvl>
    <w:lvl w:ilvl="8" w:tplc="040C001B" w:tentative="1">
      <w:start w:val="1"/>
      <w:numFmt w:val="bullet"/>
      <w:lvlText w:val=""/>
      <w:lvlJc w:val="left"/>
      <w:pPr>
        <w:ind w:left="6476" w:hanging="360"/>
      </w:pPr>
      <w:rPr>
        <w:rFonts w:ascii="Wingdings" w:hAnsi="Wingdings" w:hint="default"/>
      </w:rPr>
    </w:lvl>
  </w:abstractNum>
  <w:abstractNum w:abstractNumId="2">
    <w:nsid w:val="3B6D7464"/>
    <w:multiLevelType w:val="hybridMultilevel"/>
    <w:tmpl w:val="0B7CEA40"/>
    <w:lvl w:ilvl="0" w:tplc="AD6E3368">
      <w:start w:val="1"/>
      <w:numFmt w:val="bullet"/>
      <w:pStyle w:val="BouletNiveau1"/>
      <w:lvlText w:val=""/>
      <w:lvlJc w:val="left"/>
      <w:pPr>
        <w:tabs>
          <w:tab w:val="num" w:pos="502"/>
        </w:tabs>
        <w:ind w:left="502" w:hanging="360"/>
      </w:pPr>
      <w:rPr>
        <w:rFonts w:ascii="Symbol" w:hAnsi="Symbol" w:hint="default"/>
        <w:color w:val="996633"/>
        <w:sz w:val="32"/>
        <w:szCs w:val="16"/>
      </w:rPr>
    </w:lvl>
    <w:lvl w:ilvl="1" w:tplc="04090003">
      <w:start w:val="1"/>
      <w:numFmt w:val="bullet"/>
      <w:lvlText w:val="o"/>
      <w:lvlJc w:val="left"/>
      <w:pPr>
        <w:tabs>
          <w:tab w:val="num" w:pos="1442"/>
        </w:tabs>
        <w:ind w:left="1442" w:hanging="360"/>
      </w:pPr>
      <w:rPr>
        <w:rFonts w:ascii="Courier New" w:hAnsi="Courier New" w:cs="Webdings"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Webdings"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Webdings"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3">
    <w:nsid w:val="41115D6D"/>
    <w:multiLevelType w:val="multilevel"/>
    <w:tmpl w:val="EDB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55A57"/>
    <w:multiLevelType w:val="multilevel"/>
    <w:tmpl w:val="F7E8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209D7"/>
    <w:multiLevelType w:val="hybridMultilevel"/>
    <w:tmpl w:val="1E200BDE"/>
    <w:lvl w:ilvl="0" w:tplc="831E7B4A">
      <w:start w:val="1"/>
      <w:numFmt w:val="decimal"/>
      <w:lvlText w:val="%1."/>
      <w:lvlJc w:val="left"/>
      <w:pPr>
        <w:ind w:left="375" w:hanging="375"/>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A0"/>
    <w:rsid w:val="00100447"/>
    <w:rsid w:val="00330EA0"/>
    <w:rsid w:val="004B5863"/>
    <w:rsid w:val="005C4AA3"/>
    <w:rsid w:val="00891D96"/>
    <w:rsid w:val="00B95159"/>
    <w:rsid w:val="00D16D74"/>
    <w:rsid w:val="00F46695"/>
    <w:rsid w:val="00F804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80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0E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004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0044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A0"/>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004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00447"/>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100447"/>
    <w:rPr>
      <w:b/>
      <w:bCs/>
    </w:rPr>
  </w:style>
  <w:style w:type="paragraph" w:customStyle="1" w:styleId="BouletNiveau1">
    <w:name w:val="BouletNiveau1"/>
    <w:basedOn w:val="Normal"/>
    <w:rsid w:val="00100447"/>
    <w:pPr>
      <w:numPr>
        <w:numId w:val="1"/>
      </w:numPr>
      <w:ind w:right="14"/>
    </w:pPr>
    <w:rPr>
      <w:rFonts w:ascii="Trebuchet MS" w:eastAsia="Times" w:hAnsi="Trebuchet MS" w:cs="Times New Roman"/>
      <w:sz w:val="22"/>
      <w:szCs w:val="20"/>
      <w:lang w:val="fr-CA"/>
    </w:rPr>
  </w:style>
  <w:style w:type="paragraph" w:customStyle="1" w:styleId="NumrotationNiveau1">
    <w:name w:val="NumérotationNiveau1"/>
    <w:rsid w:val="00100447"/>
    <w:pPr>
      <w:keepNext/>
      <w:keepLines/>
      <w:tabs>
        <w:tab w:val="left" w:pos="360"/>
        <w:tab w:val="left" w:pos="540"/>
      </w:tabs>
      <w:spacing w:before="240"/>
      <w:ind w:left="360" w:right="734" w:hanging="360"/>
      <w:jc w:val="both"/>
    </w:pPr>
    <w:rPr>
      <w:rFonts w:ascii="Trebuchet MS" w:eastAsia="Times New Roman" w:hAnsi="Trebuchet MS" w:cs="Times New Roman"/>
      <w:sz w:val="22"/>
      <w:szCs w:val="20"/>
      <w:lang w:val="fr-CA"/>
    </w:rPr>
  </w:style>
  <w:style w:type="table" w:styleId="Grille">
    <w:name w:val="Table Grid"/>
    <w:basedOn w:val="TableauNormal"/>
    <w:rsid w:val="00100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00447"/>
    <w:pPr>
      <w:ind w:left="720"/>
      <w:contextualSpacing/>
    </w:pPr>
  </w:style>
  <w:style w:type="paragraph" w:styleId="Textedebulles">
    <w:name w:val="Balloon Text"/>
    <w:basedOn w:val="Normal"/>
    <w:link w:val="TextedebullesCar"/>
    <w:uiPriority w:val="99"/>
    <w:semiHidden/>
    <w:unhideWhenUsed/>
    <w:rsid w:val="001004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04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0E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004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0044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A0"/>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004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00447"/>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100447"/>
    <w:rPr>
      <w:b/>
      <w:bCs/>
    </w:rPr>
  </w:style>
  <w:style w:type="paragraph" w:customStyle="1" w:styleId="BouletNiveau1">
    <w:name w:val="BouletNiveau1"/>
    <w:basedOn w:val="Normal"/>
    <w:rsid w:val="00100447"/>
    <w:pPr>
      <w:numPr>
        <w:numId w:val="1"/>
      </w:numPr>
      <w:ind w:right="14"/>
    </w:pPr>
    <w:rPr>
      <w:rFonts w:ascii="Trebuchet MS" w:eastAsia="Times" w:hAnsi="Trebuchet MS" w:cs="Times New Roman"/>
      <w:sz w:val="22"/>
      <w:szCs w:val="20"/>
      <w:lang w:val="fr-CA"/>
    </w:rPr>
  </w:style>
  <w:style w:type="paragraph" w:customStyle="1" w:styleId="NumrotationNiveau1">
    <w:name w:val="NumérotationNiveau1"/>
    <w:rsid w:val="00100447"/>
    <w:pPr>
      <w:keepNext/>
      <w:keepLines/>
      <w:tabs>
        <w:tab w:val="left" w:pos="360"/>
        <w:tab w:val="left" w:pos="540"/>
      </w:tabs>
      <w:spacing w:before="240"/>
      <w:ind w:left="360" w:right="734" w:hanging="360"/>
      <w:jc w:val="both"/>
    </w:pPr>
    <w:rPr>
      <w:rFonts w:ascii="Trebuchet MS" w:eastAsia="Times New Roman" w:hAnsi="Trebuchet MS" w:cs="Times New Roman"/>
      <w:sz w:val="22"/>
      <w:szCs w:val="20"/>
      <w:lang w:val="fr-CA"/>
    </w:rPr>
  </w:style>
  <w:style w:type="table" w:styleId="Grille">
    <w:name w:val="Table Grid"/>
    <w:basedOn w:val="TableauNormal"/>
    <w:rsid w:val="00100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00447"/>
    <w:pPr>
      <w:ind w:left="720"/>
      <w:contextualSpacing/>
    </w:pPr>
  </w:style>
  <w:style w:type="paragraph" w:styleId="Textedebulles">
    <w:name w:val="Balloon Text"/>
    <w:basedOn w:val="Normal"/>
    <w:link w:val="TextedebullesCar"/>
    <w:uiPriority w:val="99"/>
    <w:semiHidden/>
    <w:unhideWhenUsed/>
    <w:rsid w:val="001004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04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2120</Words>
  <Characters>11665</Characters>
  <Application>Microsoft Macintosh Word</Application>
  <DocSecurity>0</DocSecurity>
  <Lines>97</Lines>
  <Paragraphs>27</Paragraphs>
  <ScaleCrop>false</ScaleCrop>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Champoux</dc:creator>
  <cp:keywords/>
  <dc:description/>
  <cp:lastModifiedBy>Valerie Champoux</cp:lastModifiedBy>
  <cp:revision>7</cp:revision>
  <dcterms:created xsi:type="dcterms:W3CDTF">2012-05-24T18:16:00Z</dcterms:created>
  <dcterms:modified xsi:type="dcterms:W3CDTF">2012-05-24T19:20:00Z</dcterms:modified>
</cp:coreProperties>
</file>