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24" w:rsidRPr="00824624" w:rsidRDefault="00824624">
      <w:pPr>
        <w:rPr>
          <w:b/>
          <w:u w:val="single"/>
        </w:rPr>
      </w:pPr>
      <w:r w:rsidRPr="00824624">
        <w:rPr>
          <w:b/>
          <w:u w:val="single"/>
        </w:rPr>
        <w:t>Le PDPE de la Faculté de pharmacie de l’Université de Montréal</w:t>
      </w:r>
    </w:p>
    <w:p w:rsidR="00824624" w:rsidRDefault="00824624"/>
    <w:p w:rsidR="00AA3A6D" w:rsidRPr="00824624" w:rsidRDefault="00824624">
      <w:pPr>
        <w:rPr>
          <w:b/>
        </w:rPr>
      </w:pPr>
      <w:r w:rsidRPr="00824624">
        <w:rPr>
          <w:b/>
        </w:rPr>
        <w:t>Réflexion sur le programme :</w:t>
      </w:r>
    </w:p>
    <w:p w:rsidR="009D7BDC" w:rsidRDefault="009D7BDC"/>
    <w:p w:rsidR="009D7BDC" w:rsidRDefault="009D7BDC">
      <w:r>
        <w:t>Les grandes questions :</w:t>
      </w:r>
    </w:p>
    <w:p w:rsidR="009D7BDC" w:rsidRDefault="009D7BDC" w:rsidP="009D7BDC">
      <w:pPr>
        <w:pStyle w:val="Paragraphedeliste"/>
        <w:numPr>
          <w:ilvl w:val="0"/>
          <w:numId w:val="2"/>
        </w:numPr>
      </w:pPr>
      <w:r>
        <w:t>Est-ce que le PDPE sera un programme dont la progression se fera par co</w:t>
      </w:r>
      <w:r w:rsidR="00824624">
        <w:t xml:space="preserve">horte </w:t>
      </w:r>
      <w:r>
        <w:t xml:space="preserve"> ou s</w:t>
      </w:r>
      <w:r w:rsidR="00824624">
        <w:t xml:space="preserve">e fera individuellement avec un ou des cours </w:t>
      </w:r>
      <w:r>
        <w:t>à chaque trimestre ?</w:t>
      </w:r>
    </w:p>
    <w:p w:rsidR="009D7BDC" w:rsidRDefault="009D7BDC" w:rsidP="009D7BDC">
      <w:pPr>
        <w:pStyle w:val="Paragraphedeliste"/>
        <w:numPr>
          <w:ilvl w:val="0"/>
          <w:numId w:val="2"/>
        </w:numPr>
      </w:pPr>
      <w:r>
        <w:t>Une évaluation du portefolio est fortement suggérée dans le contexte du PDPE. Quelle est l’importance du portefolio dans la  détermination du nombre de crédits à suivre (ie maximum créditable ?)</w:t>
      </w:r>
    </w:p>
    <w:p w:rsidR="009D7BDC" w:rsidRDefault="009D7BDC" w:rsidP="009D7BDC">
      <w:pPr>
        <w:pStyle w:val="Paragraphedeliste"/>
        <w:numPr>
          <w:ilvl w:val="0"/>
          <w:numId w:val="2"/>
        </w:numPr>
      </w:pPr>
      <w:r>
        <w:t>Combien de crédits de cours et de crédits de stages le PDPE doit-il contenir?</w:t>
      </w:r>
    </w:p>
    <w:p w:rsidR="00824624" w:rsidRDefault="00824624" w:rsidP="009D7BDC">
      <w:pPr>
        <w:pStyle w:val="Paragraphedeliste"/>
        <w:numPr>
          <w:ilvl w:val="0"/>
          <w:numId w:val="2"/>
        </w:numPr>
      </w:pPr>
      <w:r>
        <w:t>Qui enseignera au PDPE ?  (profs, chargés de cours, conférenciers ?</w:t>
      </w:r>
    </w:p>
    <w:p w:rsidR="00824624" w:rsidRDefault="00824624" w:rsidP="009D7BDC">
      <w:pPr>
        <w:pStyle w:val="Paragraphedeliste"/>
        <w:numPr>
          <w:ilvl w:val="0"/>
          <w:numId w:val="2"/>
        </w:numPr>
      </w:pPr>
      <w:r>
        <w:t>Quelle structure doit être mise en place pour supporter le programme ( évaluation des dossiers, admission, suivi des dossiers, suivi des stages…)</w:t>
      </w:r>
    </w:p>
    <w:p w:rsidR="00824624" w:rsidRDefault="00824624" w:rsidP="009D7BDC">
      <w:pPr>
        <w:pStyle w:val="Paragraphedeliste"/>
        <w:numPr>
          <w:ilvl w:val="0"/>
          <w:numId w:val="2"/>
        </w:numPr>
      </w:pPr>
      <w:r>
        <w:t>Quelle est la portion de l’enseignement théorique qui peut être fait par des moyens électroniques ?</w:t>
      </w:r>
    </w:p>
    <w:p w:rsidR="009D7BDC" w:rsidRDefault="00824624" w:rsidP="009D7BDC">
      <w:pPr>
        <w:pStyle w:val="Paragraphedeliste"/>
        <w:numPr>
          <w:ilvl w:val="0"/>
          <w:numId w:val="2"/>
        </w:numPr>
      </w:pPr>
      <w:r>
        <w:t>Devrons-nous offrir des cours au choix ou seulement des cours obligatoires ?</w:t>
      </w:r>
    </w:p>
    <w:p w:rsidR="006A66C4" w:rsidRDefault="006A66C4"/>
    <w:p w:rsidR="006A66C4" w:rsidRDefault="006A66C4">
      <w:r>
        <w:t>Certaines de ces questions seront adressées par le comité aviseur du PDPE.</w:t>
      </w:r>
    </w:p>
    <w:p w:rsidR="009D7BDC" w:rsidRDefault="009D7BDC"/>
    <w:p w:rsidR="006A66C4" w:rsidRDefault="00824624">
      <w:pPr>
        <w:rPr>
          <w:b/>
        </w:rPr>
      </w:pPr>
      <w:r w:rsidRPr="006A66C4">
        <w:rPr>
          <w:b/>
        </w:rPr>
        <w:t>Tableau comparatif  des principes directeurs du Pharm.D. et du PDPE (projet)</w:t>
      </w:r>
    </w:p>
    <w:p w:rsidR="00AA3A6D" w:rsidRPr="006A66C4" w:rsidRDefault="00AA3A6D">
      <w:pPr>
        <w:rPr>
          <w:b/>
        </w:rPr>
      </w:pPr>
    </w:p>
    <w:p w:rsidR="007D780C" w:rsidRDefault="000A402E">
      <w:r>
        <w:t xml:space="preserve">Principes relatifs à : </w:t>
      </w:r>
    </w:p>
    <w:tbl>
      <w:tblPr>
        <w:tblStyle w:val="Grilledutableau"/>
        <w:tblW w:w="10632" w:type="dxa"/>
        <w:tblInd w:w="-176" w:type="dxa"/>
        <w:tblLayout w:type="fixed"/>
        <w:tblLook w:val="00BF"/>
      </w:tblPr>
      <w:tblGrid>
        <w:gridCol w:w="1559"/>
        <w:gridCol w:w="3687"/>
        <w:gridCol w:w="5386"/>
      </w:tblGrid>
      <w:tr w:rsidR="007D780C" w:rsidTr="00EE61FB">
        <w:tc>
          <w:tcPr>
            <w:tcW w:w="1559" w:type="dxa"/>
            <w:shd w:val="clear" w:color="auto" w:fill="000000" w:themeFill="text1"/>
            <w:vAlign w:val="center"/>
          </w:tcPr>
          <w:p w:rsidR="007D780C" w:rsidRPr="00AA3A6D" w:rsidRDefault="007D780C" w:rsidP="00EE61FB">
            <w:pPr>
              <w:rPr>
                <w:color w:val="FFFFFF" w:themeColor="background1"/>
              </w:rPr>
            </w:pPr>
          </w:p>
        </w:tc>
        <w:tc>
          <w:tcPr>
            <w:tcW w:w="3687" w:type="dxa"/>
            <w:shd w:val="clear" w:color="auto" w:fill="000000" w:themeFill="text1"/>
            <w:vAlign w:val="center"/>
          </w:tcPr>
          <w:p w:rsidR="007D780C" w:rsidRPr="00AA3A6D" w:rsidRDefault="007D780C" w:rsidP="00EE61FB">
            <w:pPr>
              <w:rPr>
                <w:color w:val="FFFFFF" w:themeColor="background1"/>
              </w:rPr>
            </w:pPr>
            <w:r>
              <w:rPr>
                <w:color w:val="FFFFFF" w:themeColor="background1"/>
              </w:rPr>
              <w:t>Au Pharm.D. de premier cycle</w:t>
            </w:r>
          </w:p>
        </w:tc>
        <w:tc>
          <w:tcPr>
            <w:tcW w:w="5386" w:type="dxa"/>
            <w:shd w:val="clear" w:color="auto" w:fill="000000" w:themeFill="text1"/>
            <w:vAlign w:val="center"/>
          </w:tcPr>
          <w:p w:rsidR="007D780C" w:rsidRPr="00AA3A6D" w:rsidRDefault="007D780C" w:rsidP="00EE61FB">
            <w:pPr>
              <w:rPr>
                <w:color w:val="FFFFFF" w:themeColor="background1"/>
              </w:rPr>
            </w:pPr>
            <w:r>
              <w:rPr>
                <w:color w:val="FFFFFF" w:themeColor="background1"/>
              </w:rPr>
              <w:t>Au PDPE</w:t>
            </w:r>
          </w:p>
        </w:tc>
      </w:tr>
      <w:tr w:rsidR="007D780C" w:rsidTr="00EE61FB">
        <w:tc>
          <w:tcPr>
            <w:tcW w:w="10632" w:type="dxa"/>
            <w:gridSpan w:val="3"/>
            <w:shd w:val="clear" w:color="auto" w:fill="5F497A" w:themeFill="accent4" w:themeFillShade="BF"/>
            <w:vAlign w:val="center"/>
          </w:tcPr>
          <w:p w:rsidR="007D780C" w:rsidRDefault="007D780C" w:rsidP="00EE61FB">
            <w:pPr>
              <w:rPr>
                <w:rFonts w:ascii="Corbel" w:hAnsi="Corbel"/>
                <w:sz w:val="20"/>
              </w:rPr>
            </w:pPr>
            <w:r>
              <w:rPr>
                <w:rFonts w:ascii="Corbel" w:hAnsi="Corbel"/>
                <w:b/>
                <w:color w:val="FFFFFF" w:themeColor="background1"/>
                <w:sz w:val="20"/>
              </w:rPr>
              <w:t>Axe : CONCEPTION PÉDAGOGIQUE</w:t>
            </w:r>
          </w:p>
        </w:tc>
      </w:tr>
      <w:tr w:rsidR="007D780C" w:rsidTr="00EE61FB">
        <w:tc>
          <w:tcPr>
            <w:tcW w:w="10632" w:type="dxa"/>
            <w:gridSpan w:val="3"/>
            <w:shd w:val="clear" w:color="auto" w:fill="CCC0D9" w:themeFill="accent4" w:themeFillTint="66"/>
            <w:vAlign w:val="center"/>
          </w:tcPr>
          <w:p w:rsidR="007D780C" w:rsidRPr="008A6FE2" w:rsidRDefault="007D780C" w:rsidP="00EE61FB">
            <w:pPr>
              <w:rPr>
                <w:rFonts w:ascii="Corbel" w:hAnsi="Corbel"/>
                <w:b/>
                <w:sz w:val="20"/>
              </w:rPr>
            </w:pPr>
            <w:r w:rsidRPr="008A6FE2">
              <w:rPr>
                <w:rFonts w:ascii="Corbel" w:hAnsi="Corbel"/>
                <w:b/>
                <w:sz w:val="20"/>
              </w:rPr>
              <w:t>Approche pédagogique</w:t>
            </w:r>
          </w:p>
        </w:tc>
      </w:tr>
      <w:tr w:rsidR="007D780C" w:rsidTr="00EE61FB">
        <w:trPr>
          <w:trHeight w:val="1379"/>
        </w:trPr>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La formation par compétences nécessite une approche pédagogique centrée sur l’apprentissage.</w:t>
            </w:r>
          </w:p>
        </w:tc>
        <w:tc>
          <w:tcPr>
            <w:tcW w:w="5386" w:type="dxa"/>
            <w:vAlign w:val="center"/>
          </w:tcPr>
          <w:p w:rsidR="005B53C0" w:rsidRDefault="005B53C0" w:rsidP="00EE61FB">
            <w:pPr>
              <w:rPr>
                <w:sz w:val="20"/>
              </w:rPr>
            </w:pPr>
            <w:r>
              <w:rPr>
                <w:sz w:val="20"/>
              </w:rPr>
              <w:t>Le profil de compétence visé à la sortie est le même que celui des étudiants du Pharm.D.</w:t>
            </w:r>
          </w:p>
          <w:p w:rsidR="005B53C0" w:rsidRDefault="005B53C0" w:rsidP="00EE61FB">
            <w:pPr>
              <w:rPr>
                <w:sz w:val="20"/>
              </w:rPr>
            </w:pPr>
          </w:p>
          <w:p w:rsidR="007D780C" w:rsidRPr="00384FA1" w:rsidRDefault="005B53C0" w:rsidP="00EE61FB">
            <w:pPr>
              <w:rPr>
                <w:rFonts w:ascii="Corbel" w:hAnsi="Corbel"/>
                <w:sz w:val="20"/>
              </w:rPr>
            </w:pPr>
            <w:r w:rsidRPr="009A395D">
              <w:rPr>
                <w:sz w:val="20"/>
              </w:rPr>
              <w:t>La formation par compétences nécessite une approche pédagogique centrée sur l’apprentissage.</w:t>
            </w:r>
          </w:p>
        </w:tc>
      </w:tr>
      <w:tr w:rsidR="007D780C" w:rsidTr="00EE61FB">
        <w:trPr>
          <w:trHeight w:val="2108"/>
        </w:trPr>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Afin de favoriser un apprentissage actif, l’approche par découverte dirigée constitue le niveau minimal d’implication proposé aux étudiants. D’autre part, l’approche par découverte guidée sera privilégiée autant que possible afin de promouvoir la prise en charge de l’apprentissage par l’apprenant. Exceptionnellement, on pourra avoir recours à des interventions de type magistral</w:t>
            </w:r>
          </w:p>
        </w:tc>
        <w:tc>
          <w:tcPr>
            <w:tcW w:w="5386" w:type="dxa"/>
            <w:vAlign w:val="center"/>
          </w:tcPr>
          <w:p w:rsidR="005B53C0" w:rsidRPr="00384FA1" w:rsidRDefault="005B53C0" w:rsidP="00EE61FB">
            <w:pPr>
              <w:rPr>
                <w:rFonts w:ascii="Corbel" w:hAnsi="Corbel"/>
                <w:sz w:val="20"/>
              </w:rPr>
            </w:pPr>
            <w:r w:rsidRPr="009A395D">
              <w:rPr>
                <w:sz w:val="20"/>
              </w:rPr>
              <w:t>Afin de favoriser un apprentissage actif, l’approche par découverte dirigée constitue le niveau minimal d’implication proposé aux étudiants. D’autre part, l’approche par découverte guidée sera privilégiée autant que possible afin de promouvoir la prise en charge de l’apprentissage par l’apprenant. Exceptionnellement, on pourra avoir recours à des interventions de type magistral</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Un support adéquat devra être fourni pour aider les professeurs à identifier l’approche pédagogique et à concevoir des activités d’apprentissage.</w:t>
            </w:r>
          </w:p>
        </w:tc>
        <w:tc>
          <w:tcPr>
            <w:tcW w:w="5386" w:type="dxa"/>
            <w:vAlign w:val="center"/>
          </w:tcPr>
          <w:p w:rsidR="007D780C" w:rsidRPr="00384FA1" w:rsidRDefault="005B53C0" w:rsidP="00EE61FB">
            <w:pPr>
              <w:rPr>
                <w:rFonts w:ascii="Corbel" w:hAnsi="Corbel"/>
                <w:sz w:val="20"/>
              </w:rPr>
            </w:pPr>
            <w:r w:rsidRPr="009A395D">
              <w:rPr>
                <w:sz w:val="20"/>
              </w:rPr>
              <w:t>Un support adéquat devra être fourni pour aider les professeurs à identifier l’approche pédagogique et à concevoir des activités d’apprentissage.</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La plupart des cours sont sous la responsabilité d’une équipe de professeurs provenant de disciplines complémentaires. L’un des membres agira à titre d’animateur de l’équipe.</w:t>
            </w:r>
          </w:p>
        </w:tc>
        <w:tc>
          <w:tcPr>
            <w:tcW w:w="5386" w:type="dxa"/>
            <w:vAlign w:val="center"/>
          </w:tcPr>
          <w:p w:rsidR="007D780C" w:rsidRPr="00384FA1" w:rsidRDefault="00EE61FB" w:rsidP="006B4E41">
            <w:pPr>
              <w:rPr>
                <w:rFonts w:ascii="Corbel" w:hAnsi="Corbel"/>
                <w:sz w:val="20"/>
              </w:rPr>
            </w:pPr>
            <w:r>
              <w:rPr>
                <w:rFonts w:ascii="Corbel" w:hAnsi="Corbel"/>
                <w:sz w:val="20"/>
              </w:rPr>
              <w:t xml:space="preserve">Chaque cours sera sous la responsabilité d’un chargé de cours </w:t>
            </w:r>
            <w:r w:rsidR="006B4E41">
              <w:rPr>
                <w:rFonts w:ascii="Corbel" w:hAnsi="Corbel"/>
                <w:sz w:val="20"/>
              </w:rPr>
              <w:t xml:space="preserve"> (ou, si possible, d’un professeur) </w:t>
            </w:r>
            <w:r>
              <w:rPr>
                <w:rFonts w:ascii="Corbel" w:hAnsi="Corbel"/>
                <w:sz w:val="20"/>
              </w:rPr>
              <w:t>autant pour la conception que pour la prestation.</w:t>
            </w:r>
            <w:r w:rsidR="006B4E41">
              <w:rPr>
                <w:rFonts w:ascii="Corbel" w:hAnsi="Corbel"/>
                <w:sz w:val="20"/>
              </w:rPr>
              <w:t xml:space="preserve"> </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L’organisation de l’apprentissage se fait autour de situations reflétant la vie professionnelle et reliant les savoirs au contexte et aux conditions d’utilisation</w:t>
            </w:r>
          </w:p>
        </w:tc>
        <w:tc>
          <w:tcPr>
            <w:tcW w:w="5386" w:type="dxa"/>
            <w:vAlign w:val="center"/>
          </w:tcPr>
          <w:p w:rsidR="007D780C" w:rsidRPr="00384FA1" w:rsidRDefault="00EE61FB" w:rsidP="00EE61FB">
            <w:pPr>
              <w:rPr>
                <w:rFonts w:ascii="Corbel" w:hAnsi="Corbel"/>
                <w:sz w:val="20"/>
              </w:rPr>
            </w:pPr>
            <w:r w:rsidRPr="009A395D">
              <w:rPr>
                <w:sz w:val="20"/>
              </w:rPr>
              <w:t>L’organisation de l’apprentissage se fait autour de situations reflétant la vie professionnelle et reliant les savoirs au contexte et aux conditions d’utilisation</w:t>
            </w:r>
          </w:p>
        </w:tc>
      </w:tr>
      <w:tr w:rsidR="007D780C" w:rsidTr="00EE61FB">
        <w:trPr>
          <w:trHeight w:val="1961"/>
        </w:trPr>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lastRenderedPageBreak/>
              <w:t>Pour permettre l’établissement de liens entre les savoirs essentiel</w:t>
            </w:r>
            <w:r w:rsidR="00EE61FB">
              <w:rPr>
                <w:rFonts w:asciiTheme="majorHAnsi" w:hAnsiTheme="majorHAnsi"/>
                <w:sz w:val="20"/>
              </w:rPr>
              <w:t>s</w:t>
            </w:r>
            <w:r w:rsidRPr="009A395D">
              <w:rPr>
                <w:rFonts w:asciiTheme="majorHAnsi" w:hAnsiTheme="majorHAnsi"/>
                <w:sz w:val="20"/>
              </w:rPr>
              <w:t xml:space="preserve"> et faciliter le développement des compétences, on proposera des activités d’intégration.</w:t>
            </w:r>
          </w:p>
          <w:p w:rsidR="007D780C" w:rsidRPr="009A395D" w:rsidRDefault="007D780C" w:rsidP="00EE61FB">
            <w:pPr>
              <w:rPr>
                <w:sz w:val="20"/>
              </w:rPr>
            </w:pPr>
            <w:r w:rsidRPr="009A395D">
              <w:rPr>
                <w:sz w:val="20"/>
              </w:rPr>
              <w:t>Afin de promouvoir l’interdisciplinarité, on concevra des activités conjointes avec les étudiants appartenant à d’autres facultés</w:t>
            </w:r>
          </w:p>
        </w:tc>
        <w:tc>
          <w:tcPr>
            <w:tcW w:w="5386" w:type="dxa"/>
            <w:vAlign w:val="center"/>
          </w:tcPr>
          <w:p w:rsidR="007D780C" w:rsidRPr="00384FA1" w:rsidRDefault="001E50BA" w:rsidP="00EE61FB">
            <w:pPr>
              <w:rPr>
                <w:rFonts w:ascii="Corbel" w:hAnsi="Corbel"/>
                <w:sz w:val="20"/>
              </w:rPr>
            </w:pPr>
            <w:r>
              <w:rPr>
                <w:rFonts w:ascii="Corbel" w:hAnsi="Corbel"/>
                <w:sz w:val="20"/>
              </w:rPr>
              <w:t>NSP</w:t>
            </w:r>
          </w:p>
        </w:tc>
      </w:tr>
      <w:tr w:rsidR="007D780C" w:rsidTr="00EE61FB">
        <w:tc>
          <w:tcPr>
            <w:tcW w:w="10632" w:type="dxa"/>
            <w:gridSpan w:val="3"/>
            <w:shd w:val="clear" w:color="auto" w:fill="CCC0D9" w:themeFill="accent4" w:themeFillTint="66"/>
            <w:vAlign w:val="center"/>
          </w:tcPr>
          <w:p w:rsidR="007D780C" w:rsidRPr="008A6FE2" w:rsidRDefault="007D780C" w:rsidP="00EE61FB">
            <w:pPr>
              <w:rPr>
                <w:rFonts w:ascii="Corbel" w:hAnsi="Corbel"/>
                <w:b/>
                <w:sz w:val="20"/>
              </w:rPr>
            </w:pPr>
            <w:r w:rsidRPr="008A6FE2">
              <w:rPr>
                <w:rFonts w:ascii="Corbel" w:hAnsi="Corbel"/>
                <w:b/>
                <w:sz w:val="20"/>
              </w:rPr>
              <w:t>Sélection du contenu</w:t>
            </w:r>
          </w:p>
        </w:tc>
      </w:tr>
      <w:tr w:rsidR="007D780C" w:rsidTr="006B4E41">
        <w:trPr>
          <w:trHeight w:val="872"/>
        </w:trPr>
        <w:tc>
          <w:tcPr>
            <w:tcW w:w="5246" w:type="dxa"/>
            <w:gridSpan w:val="2"/>
            <w:vAlign w:val="center"/>
          </w:tcPr>
          <w:p w:rsidR="007D780C" w:rsidRPr="006B4E41" w:rsidRDefault="007D780C" w:rsidP="006B4E41">
            <w:pPr>
              <w:pStyle w:val="Retrait1"/>
              <w:numPr>
                <w:ilvl w:val="0"/>
                <w:numId w:val="0"/>
              </w:numPr>
              <w:jc w:val="left"/>
              <w:rPr>
                <w:rFonts w:asciiTheme="majorHAnsi" w:hAnsiTheme="majorHAnsi"/>
                <w:sz w:val="20"/>
              </w:rPr>
            </w:pPr>
            <w:r w:rsidRPr="009A395D">
              <w:rPr>
                <w:rFonts w:asciiTheme="majorHAnsi" w:hAnsiTheme="majorHAnsi"/>
                <w:sz w:val="20"/>
              </w:rPr>
              <w:t xml:space="preserve">Seuls les savoirs essentiels qui sont au service des compétences ont été retenus. </w:t>
            </w:r>
          </w:p>
        </w:tc>
        <w:tc>
          <w:tcPr>
            <w:tcW w:w="5386" w:type="dxa"/>
            <w:vAlign w:val="center"/>
          </w:tcPr>
          <w:p w:rsidR="007D780C" w:rsidRPr="00384FA1" w:rsidRDefault="006B4E41" w:rsidP="006B4E41">
            <w:pPr>
              <w:rPr>
                <w:rFonts w:ascii="Corbel" w:hAnsi="Corbel"/>
                <w:sz w:val="20"/>
              </w:rPr>
            </w:pPr>
            <w:r>
              <w:rPr>
                <w:sz w:val="20"/>
              </w:rPr>
              <w:t>L</w:t>
            </w:r>
            <w:r w:rsidRPr="009A395D">
              <w:rPr>
                <w:sz w:val="20"/>
              </w:rPr>
              <w:t xml:space="preserve">es savoirs essentiels </w:t>
            </w:r>
            <w:r>
              <w:rPr>
                <w:sz w:val="20"/>
              </w:rPr>
              <w:t xml:space="preserve">retenus sont ceux </w:t>
            </w:r>
            <w:r w:rsidRPr="009A395D">
              <w:rPr>
                <w:sz w:val="20"/>
              </w:rPr>
              <w:t xml:space="preserve">qui sont au service des compétences </w:t>
            </w:r>
            <w:r>
              <w:rPr>
                <w:sz w:val="20"/>
              </w:rPr>
              <w:t>et complémentaires à la formation initiale reçue</w:t>
            </w:r>
            <w:r w:rsidRPr="009A395D">
              <w:rPr>
                <w:sz w:val="20"/>
              </w:rPr>
              <w:t>.</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L’équipe de professeurs responsables de la conception d’un cours devra déterminer le niveau de détail retenu pour les connaissances faisant l’objet de ce cours; ces décisions doivent être au service des compétences dans un contexte de « bonne pratique professionnelle ».</w:t>
            </w:r>
          </w:p>
        </w:tc>
        <w:tc>
          <w:tcPr>
            <w:tcW w:w="5386" w:type="dxa"/>
            <w:vAlign w:val="center"/>
          </w:tcPr>
          <w:p w:rsidR="007D780C" w:rsidRPr="00384FA1" w:rsidRDefault="006B4E41" w:rsidP="00EE61FB">
            <w:pPr>
              <w:rPr>
                <w:rFonts w:ascii="Corbel" w:hAnsi="Corbel"/>
                <w:sz w:val="20"/>
              </w:rPr>
            </w:pPr>
            <w:r>
              <w:rPr>
                <w:rFonts w:ascii="Corbel" w:hAnsi="Corbel"/>
                <w:sz w:val="20"/>
              </w:rPr>
              <w:t>Le niveau de complexité des connaissances doit être comparable à celui du Pharm.D.</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 choix des activités de laboratoire et les attentes en matière de réalisations seront déterminés en fonction de la pratique professionnelle. </w:t>
            </w:r>
          </w:p>
        </w:tc>
        <w:tc>
          <w:tcPr>
            <w:tcW w:w="5386" w:type="dxa"/>
            <w:vAlign w:val="center"/>
          </w:tcPr>
          <w:p w:rsidR="007D780C" w:rsidRPr="004E7F60" w:rsidRDefault="005C318E" w:rsidP="005C318E">
            <w:pPr>
              <w:rPr>
                <w:rFonts w:ascii="Corbel" w:hAnsi="Corbel"/>
                <w:sz w:val="20"/>
              </w:rPr>
            </w:pPr>
            <w:r w:rsidRPr="009A395D">
              <w:rPr>
                <w:sz w:val="20"/>
              </w:rPr>
              <w:t xml:space="preserve">Le choix des activités de laboratoire et les attentes en matière de réalisations seront déterminés en fonction </w:t>
            </w:r>
            <w:r>
              <w:rPr>
                <w:sz w:val="20"/>
              </w:rPr>
              <w:t>des nouvelles activités professionnelles confiées aux pharmaciens.</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Tous les éléments de compétences et les savoirs essentiels qui les alimentent doivent être abordés dans le curriculum.</w:t>
            </w:r>
          </w:p>
        </w:tc>
        <w:tc>
          <w:tcPr>
            <w:tcW w:w="5386" w:type="dxa"/>
            <w:vAlign w:val="center"/>
          </w:tcPr>
          <w:p w:rsidR="007D780C" w:rsidRPr="00384FA1" w:rsidRDefault="001E50BA" w:rsidP="00EE61FB">
            <w:pPr>
              <w:rPr>
                <w:rFonts w:ascii="Corbel" w:hAnsi="Corbel"/>
                <w:sz w:val="20"/>
              </w:rPr>
            </w:pPr>
            <w:r>
              <w:rPr>
                <w:rFonts w:ascii="Corbel" w:hAnsi="Corbel"/>
                <w:sz w:val="20"/>
              </w:rPr>
              <w:t>NSP</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On devra élaguer les faits et fournir des outils pour se les approprier au besoin; on donnera priorité aux principes, aux concepts et aux procédures.</w:t>
            </w:r>
          </w:p>
        </w:tc>
        <w:tc>
          <w:tcPr>
            <w:tcW w:w="5386" w:type="dxa"/>
            <w:vAlign w:val="center"/>
          </w:tcPr>
          <w:p w:rsidR="007D780C" w:rsidRPr="00384FA1" w:rsidRDefault="001E50BA" w:rsidP="00EE61FB">
            <w:pPr>
              <w:rPr>
                <w:rFonts w:ascii="Corbel" w:hAnsi="Corbel"/>
                <w:sz w:val="20"/>
              </w:rPr>
            </w:pPr>
            <w:r w:rsidRPr="009A395D">
              <w:rPr>
                <w:sz w:val="20"/>
              </w:rPr>
              <w:t>On devra élaguer les faits et fournir des outils pour se les approprier au besoin; on donnera priorité aux principes, aux concepts et aux procédures.</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Le contenu doit être sélectionné par les équipes multidisciplinaires en respectant les objectifs opérationnels déterminés par le Comité des études.</w:t>
            </w:r>
          </w:p>
        </w:tc>
        <w:tc>
          <w:tcPr>
            <w:tcW w:w="5386" w:type="dxa"/>
            <w:vAlign w:val="center"/>
          </w:tcPr>
          <w:p w:rsidR="007D780C" w:rsidRPr="00384FA1" w:rsidRDefault="001E50BA" w:rsidP="00415BAD">
            <w:pPr>
              <w:rPr>
                <w:rFonts w:ascii="Corbel" w:hAnsi="Corbel"/>
                <w:sz w:val="20"/>
              </w:rPr>
            </w:pPr>
            <w:r w:rsidRPr="009A395D">
              <w:rPr>
                <w:sz w:val="20"/>
              </w:rPr>
              <w:t xml:space="preserve">Le contenu doit </w:t>
            </w:r>
            <w:r>
              <w:rPr>
                <w:sz w:val="20"/>
              </w:rPr>
              <w:t xml:space="preserve">respecter </w:t>
            </w:r>
            <w:r w:rsidRPr="009A395D">
              <w:rPr>
                <w:sz w:val="20"/>
              </w:rPr>
              <w:t>les objectifs déterminés par le Comité des études.</w:t>
            </w:r>
          </w:p>
        </w:tc>
      </w:tr>
      <w:tr w:rsidR="007D780C" w:rsidTr="001326E7">
        <w:trPr>
          <w:trHeight w:val="788"/>
        </w:trPr>
        <w:tc>
          <w:tcPr>
            <w:tcW w:w="5246" w:type="dxa"/>
            <w:gridSpan w:val="2"/>
            <w:vAlign w:val="center"/>
          </w:tcPr>
          <w:p w:rsidR="007D780C" w:rsidRPr="001326E7" w:rsidRDefault="007D780C" w:rsidP="001326E7">
            <w:pPr>
              <w:pStyle w:val="Retrait1"/>
              <w:numPr>
                <w:ilvl w:val="0"/>
                <w:numId w:val="0"/>
              </w:numPr>
              <w:jc w:val="left"/>
              <w:rPr>
                <w:rFonts w:asciiTheme="majorHAnsi" w:hAnsiTheme="majorHAnsi"/>
                <w:sz w:val="20"/>
              </w:rPr>
            </w:pPr>
            <w:r w:rsidRPr="009A395D">
              <w:rPr>
                <w:rFonts w:asciiTheme="majorHAnsi" w:hAnsiTheme="majorHAnsi"/>
                <w:sz w:val="20"/>
              </w:rPr>
              <w:t>Les activités d’intégration doivent faire appel, en priorité, aux connaissances des modules traités concurremment.</w:t>
            </w:r>
          </w:p>
        </w:tc>
        <w:tc>
          <w:tcPr>
            <w:tcW w:w="5386" w:type="dxa"/>
            <w:vAlign w:val="center"/>
          </w:tcPr>
          <w:p w:rsidR="007D780C" w:rsidRPr="00384FA1" w:rsidRDefault="001326E7" w:rsidP="00EE61FB">
            <w:pPr>
              <w:rPr>
                <w:rFonts w:ascii="Corbel" w:hAnsi="Corbel"/>
                <w:sz w:val="20"/>
              </w:rPr>
            </w:pPr>
            <w:r>
              <w:rPr>
                <w:rFonts w:ascii="Corbel" w:hAnsi="Corbel"/>
                <w:sz w:val="20"/>
              </w:rPr>
              <w:t>NSP</w:t>
            </w:r>
          </w:p>
        </w:tc>
      </w:tr>
      <w:tr w:rsidR="007D780C" w:rsidTr="00EE61FB">
        <w:tc>
          <w:tcPr>
            <w:tcW w:w="10632" w:type="dxa"/>
            <w:gridSpan w:val="3"/>
            <w:shd w:val="clear" w:color="auto" w:fill="CCC0D9" w:themeFill="accent4" w:themeFillTint="66"/>
            <w:vAlign w:val="center"/>
          </w:tcPr>
          <w:p w:rsidR="007D780C" w:rsidRPr="006A66C4" w:rsidRDefault="007D780C" w:rsidP="00EE61FB">
            <w:pPr>
              <w:rPr>
                <w:rFonts w:ascii="Corbel" w:hAnsi="Corbel"/>
                <w:b/>
                <w:sz w:val="20"/>
              </w:rPr>
            </w:pPr>
            <w:r w:rsidRPr="006A66C4">
              <w:rPr>
                <w:rFonts w:ascii="Corbel" w:hAnsi="Corbel"/>
                <w:b/>
                <w:sz w:val="20"/>
              </w:rPr>
              <w:t>Techniques pédagogiques</w:t>
            </w:r>
          </w:p>
        </w:tc>
      </w:tr>
      <w:tr w:rsidR="007D780C" w:rsidTr="00EE61FB">
        <w:tc>
          <w:tcPr>
            <w:tcW w:w="5246" w:type="dxa"/>
            <w:gridSpan w:val="2"/>
            <w:vAlign w:val="center"/>
          </w:tcPr>
          <w:p w:rsidR="007D780C" w:rsidRPr="001326E7" w:rsidRDefault="007D780C" w:rsidP="001326E7">
            <w:pPr>
              <w:pStyle w:val="Retrait1"/>
              <w:numPr>
                <w:ilvl w:val="0"/>
                <w:numId w:val="0"/>
              </w:numPr>
              <w:jc w:val="left"/>
              <w:rPr>
                <w:rFonts w:asciiTheme="majorHAnsi" w:hAnsiTheme="majorHAnsi"/>
                <w:sz w:val="20"/>
              </w:rPr>
            </w:pPr>
            <w:r w:rsidRPr="009A395D">
              <w:rPr>
                <w:rFonts w:asciiTheme="majorHAnsi" w:hAnsiTheme="majorHAnsi"/>
                <w:sz w:val="20"/>
              </w:rPr>
              <w:t>Les techniques pédagogiques choisies seront au service de l’approche pédagogique retenue (voir principes relatifs à l’approche pédagogique).</w:t>
            </w:r>
          </w:p>
        </w:tc>
        <w:tc>
          <w:tcPr>
            <w:tcW w:w="5386" w:type="dxa"/>
            <w:vAlign w:val="center"/>
          </w:tcPr>
          <w:p w:rsidR="007D780C" w:rsidRPr="00384FA1" w:rsidRDefault="007D780C" w:rsidP="00EE61FB">
            <w:pPr>
              <w:rPr>
                <w:rFonts w:ascii="Corbel" w:hAnsi="Corbel"/>
                <w:sz w:val="20"/>
              </w:rPr>
            </w:pPr>
            <w:r w:rsidRPr="00384FA1">
              <w:rPr>
                <w:rFonts w:ascii="Corbel" w:hAnsi="Corbel"/>
                <w:sz w:val="20"/>
              </w:rPr>
              <w:t>Les techniques pédagogiques choisies faciliteront l’apprentissage à distance et  par les moyens électroniques</w:t>
            </w:r>
            <w:r w:rsidR="00427602">
              <w:rPr>
                <w:rFonts w:ascii="Corbel" w:hAnsi="Corbel"/>
                <w:sz w:val="20"/>
              </w:rPr>
              <w:t xml:space="preserve"> tout en étant en lien avec l’approche pédagogique retenue</w:t>
            </w:r>
            <w:r w:rsidRPr="00384FA1">
              <w:rPr>
                <w:rFonts w:ascii="Corbel" w:hAnsi="Corbel"/>
                <w:sz w:val="20"/>
              </w:rPr>
              <w:t xml:space="preserve">. </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Les techniques pédagogiques doivent être sélectionnées en fonction des éléments de compétences et des types de savoirs essentiels impliqués (connaissances et habiletés); par conséquent, chaque cours pourra exploiter des techniques pédagogiques différentes. </w:t>
            </w:r>
          </w:p>
        </w:tc>
        <w:tc>
          <w:tcPr>
            <w:tcW w:w="5386" w:type="dxa"/>
            <w:vAlign w:val="center"/>
          </w:tcPr>
          <w:p w:rsidR="007D780C" w:rsidRPr="00384FA1" w:rsidRDefault="00427602" w:rsidP="00EE61FB">
            <w:pPr>
              <w:rPr>
                <w:rFonts w:ascii="Corbel" w:hAnsi="Corbel"/>
                <w:sz w:val="20"/>
              </w:rPr>
            </w:pPr>
            <w:r>
              <w:rPr>
                <w:rFonts w:ascii="Corbel" w:hAnsi="Corbel"/>
                <w:sz w:val="20"/>
              </w:rPr>
              <w:t>Les choix pédagogiques devront être faits en tenant compte des caractéristiques de la clientèle : adultes qui travaillent et qui peuvent être situés loin des grands centres.</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Selon les compétences visées, certains cours devront mettre en valeur l’apprentissage collaboratif. </w:t>
            </w:r>
          </w:p>
        </w:tc>
        <w:tc>
          <w:tcPr>
            <w:tcW w:w="5386" w:type="dxa"/>
            <w:vAlign w:val="center"/>
          </w:tcPr>
          <w:p w:rsidR="007D780C" w:rsidRPr="00384FA1" w:rsidRDefault="00F65C6E" w:rsidP="00EE61FB">
            <w:pPr>
              <w:rPr>
                <w:rFonts w:ascii="Corbel" w:hAnsi="Corbel"/>
                <w:sz w:val="20"/>
              </w:rPr>
            </w:pPr>
            <w:r>
              <w:rPr>
                <w:rFonts w:ascii="Corbel" w:hAnsi="Corbel"/>
                <w:sz w:val="20"/>
              </w:rPr>
              <w:t>NSP</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On doit favoriser l’utilisation des TICs lorsque celles-ci ont un impact positif sur la qualité de l’apprentissage, sur l’exploitation et la réutilisation du matériel pédagogique.</w:t>
            </w:r>
          </w:p>
        </w:tc>
        <w:tc>
          <w:tcPr>
            <w:tcW w:w="5386" w:type="dxa"/>
            <w:vAlign w:val="center"/>
          </w:tcPr>
          <w:p w:rsidR="007D780C" w:rsidRPr="00384FA1" w:rsidRDefault="00F65C6E" w:rsidP="00EE61FB">
            <w:pPr>
              <w:rPr>
                <w:rFonts w:ascii="Corbel" w:hAnsi="Corbel"/>
                <w:sz w:val="20"/>
              </w:rPr>
            </w:pPr>
            <w:r>
              <w:rPr>
                <w:rFonts w:ascii="Corbel" w:hAnsi="Corbel"/>
                <w:sz w:val="20"/>
              </w:rPr>
              <w:t>L’accès à un ordinateur personnel  et  à une connexion internet à haut débit est essentiel pour ce programme.</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Les </w:t>
            </w:r>
            <w:r w:rsidRPr="009A395D">
              <w:rPr>
                <w:rFonts w:asciiTheme="majorHAnsi" w:hAnsiTheme="majorHAnsi"/>
                <w:iCs/>
                <w:sz w:val="20"/>
              </w:rPr>
              <w:t>objectifs opérationnels</w:t>
            </w:r>
            <w:r w:rsidRPr="009A395D">
              <w:rPr>
                <w:rFonts w:asciiTheme="majorHAnsi" w:hAnsiTheme="majorHAnsi"/>
                <w:sz w:val="20"/>
              </w:rPr>
              <w:t xml:space="preserve"> proposeront une sélection de techniques pour chaque cours.</w:t>
            </w:r>
          </w:p>
        </w:tc>
        <w:tc>
          <w:tcPr>
            <w:tcW w:w="5386" w:type="dxa"/>
            <w:vAlign w:val="center"/>
          </w:tcPr>
          <w:p w:rsidR="007D780C" w:rsidRPr="00C030A8" w:rsidRDefault="00F65C6E" w:rsidP="00EE61FB">
            <w:pPr>
              <w:rPr>
                <w:rFonts w:ascii="Corbel" w:hAnsi="Corbel"/>
                <w:sz w:val="20"/>
                <w:highlight w:val="yellow"/>
              </w:rPr>
            </w:pPr>
            <w:r w:rsidRPr="00F65C6E">
              <w:rPr>
                <w:rFonts w:ascii="Corbel" w:hAnsi="Corbel"/>
                <w:sz w:val="20"/>
              </w:rPr>
              <w:t>NSP</w:t>
            </w:r>
          </w:p>
        </w:tc>
      </w:tr>
      <w:tr w:rsidR="007D780C" w:rsidTr="00EE61FB">
        <w:tc>
          <w:tcPr>
            <w:tcW w:w="10632" w:type="dxa"/>
            <w:gridSpan w:val="3"/>
            <w:shd w:val="clear" w:color="auto" w:fill="CCC0D9" w:themeFill="accent4" w:themeFillTint="66"/>
            <w:vAlign w:val="center"/>
          </w:tcPr>
          <w:p w:rsidR="007D780C" w:rsidRPr="008A6FE2" w:rsidRDefault="007D780C" w:rsidP="00EE61FB">
            <w:pPr>
              <w:rPr>
                <w:rFonts w:ascii="Corbel" w:hAnsi="Corbel"/>
                <w:b/>
                <w:sz w:val="20"/>
              </w:rPr>
            </w:pPr>
            <w:r w:rsidRPr="008A6FE2">
              <w:rPr>
                <w:b/>
                <w:sz w:val="20"/>
              </w:rPr>
              <w:t>Conception et implantation des stages</w:t>
            </w:r>
            <w:r w:rsidR="00096C8D">
              <w:rPr>
                <w:b/>
                <w:sz w:val="20"/>
              </w:rPr>
              <w:t xml:space="preserve"> - NSP</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Il y aura cohérence entre les stages et les activités d’apprentissage du volet acadé</w:t>
            </w:r>
            <w:r w:rsidRPr="009A395D">
              <w:rPr>
                <w:rFonts w:asciiTheme="majorHAnsi" w:hAnsiTheme="majorHAnsi"/>
                <w:sz w:val="20"/>
              </w:rPr>
              <w:softHyphen/>
              <w:t>mique.Les activités du stage seront définies de façon à assurer un suivi étroit avec les connaissances et les habiletés acquises en contexte académique</w:t>
            </w:r>
          </w:p>
        </w:tc>
        <w:tc>
          <w:tcPr>
            <w:tcW w:w="5386" w:type="dxa"/>
            <w:vAlign w:val="center"/>
          </w:tcPr>
          <w:p w:rsidR="007D780C" w:rsidRPr="00384FA1" w:rsidRDefault="00096C8D" w:rsidP="00EE61FB">
            <w:pPr>
              <w:rPr>
                <w:rFonts w:ascii="Corbel" w:hAnsi="Corbel"/>
                <w:sz w:val="20"/>
              </w:rPr>
            </w:pPr>
            <w:r>
              <w:rPr>
                <w:rFonts w:ascii="Corbel" w:hAnsi="Corbel"/>
                <w:sz w:val="20"/>
              </w:rPr>
              <w:t>Aucun stage n’est disponible pour ce programme.</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La conception et l’implantation seront faites en collaboration avec les cliniciens associés et en concertation avec l’Ordre des pharmaciens du Québec.</w:t>
            </w:r>
          </w:p>
        </w:tc>
        <w:tc>
          <w:tcPr>
            <w:tcW w:w="5386" w:type="dxa"/>
            <w:vAlign w:val="center"/>
          </w:tcPr>
          <w:p w:rsidR="007D780C" w:rsidRPr="00384FA1" w:rsidRDefault="007D780C" w:rsidP="00EE61FB">
            <w:pPr>
              <w:rPr>
                <w:rFonts w:ascii="Corbel" w:hAnsi="Corbel"/>
                <w:sz w:val="20"/>
              </w:rPr>
            </w:pP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Dans leur ensemble, les stages permettront la mise en pratique et l’évaluation de tous les éléments de compétence.</w:t>
            </w:r>
          </w:p>
        </w:tc>
        <w:tc>
          <w:tcPr>
            <w:tcW w:w="5386" w:type="dxa"/>
            <w:vAlign w:val="center"/>
          </w:tcPr>
          <w:p w:rsidR="007D780C" w:rsidRPr="00384FA1" w:rsidRDefault="007D780C" w:rsidP="00EE61FB">
            <w:pPr>
              <w:rPr>
                <w:rFonts w:ascii="Corbel" w:hAnsi="Corbel"/>
                <w:sz w:val="20"/>
              </w:rPr>
            </w:pPr>
          </w:p>
        </w:tc>
      </w:tr>
      <w:tr w:rsidR="007D780C" w:rsidTr="00EE61FB">
        <w:tc>
          <w:tcPr>
            <w:tcW w:w="5246" w:type="dxa"/>
            <w:gridSpan w:val="2"/>
            <w:vAlign w:val="center"/>
          </w:tcPr>
          <w:p w:rsidR="007D780C" w:rsidRPr="009A395D" w:rsidRDefault="007D780C" w:rsidP="00EE61FB">
            <w:pPr>
              <w:rPr>
                <w:sz w:val="20"/>
              </w:rPr>
            </w:pPr>
            <w:r w:rsidRPr="009A395D">
              <w:rPr>
                <w:sz w:val="20"/>
              </w:rPr>
              <w:t>Un mécanisme de suivi sera mis en place afin d’observer l’installation graduelle des compétences du premier stage au dernier stage</w:t>
            </w:r>
          </w:p>
        </w:tc>
        <w:tc>
          <w:tcPr>
            <w:tcW w:w="5386" w:type="dxa"/>
            <w:vAlign w:val="center"/>
          </w:tcPr>
          <w:p w:rsidR="007D780C" w:rsidRPr="00384FA1" w:rsidRDefault="007D780C" w:rsidP="00EE61FB">
            <w:pPr>
              <w:rPr>
                <w:rFonts w:ascii="Corbel" w:hAnsi="Corbel"/>
                <w:sz w:val="20"/>
              </w:rPr>
            </w:pPr>
          </w:p>
        </w:tc>
      </w:tr>
      <w:tr w:rsidR="007D780C" w:rsidTr="00096C8D">
        <w:trPr>
          <w:trHeight w:val="598"/>
        </w:trPr>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Les milieux de stage seront agréés par la Faculté de pharmacie.</w:t>
            </w:r>
          </w:p>
        </w:tc>
        <w:tc>
          <w:tcPr>
            <w:tcW w:w="5386" w:type="dxa"/>
            <w:vAlign w:val="center"/>
          </w:tcPr>
          <w:p w:rsidR="007D780C" w:rsidRPr="00384FA1" w:rsidRDefault="007D780C" w:rsidP="00EE61FB">
            <w:pPr>
              <w:rPr>
                <w:rFonts w:ascii="Corbel" w:hAnsi="Corbel"/>
                <w:sz w:val="20"/>
              </w:rPr>
            </w:pPr>
          </w:p>
        </w:tc>
      </w:tr>
      <w:tr w:rsidR="007D780C" w:rsidTr="00096C8D">
        <w:trPr>
          <w:trHeight w:val="552"/>
        </w:trPr>
        <w:tc>
          <w:tcPr>
            <w:tcW w:w="5246" w:type="dxa"/>
            <w:gridSpan w:val="2"/>
            <w:vAlign w:val="center"/>
          </w:tcPr>
          <w:p w:rsidR="007D780C" w:rsidRPr="009A395D" w:rsidRDefault="007D780C" w:rsidP="00EE61FB">
            <w:pPr>
              <w:rPr>
                <w:sz w:val="20"/>
              </w:rPr>
            </w:pPr>
            <w:r w:rsidRPr="009A395D">
              <w:rPr>
                <w:sz w:val="20"/>
              </w:rPr>
              <w:t>Les cliniciens associés participeront à une formation professionnelle menant à un processus de certification</w:t>
            </w:r>
          </w:p>
        </w:tc>
        <w:tc>
          <w:tcPr>
            <w:tcW w:w="5386" w:type="dxa"/>
            <w:vAlign w:val="center"/>
          </w:tcPr>
          <w:p w:rsidR="007D780C" w:rsidRPr="00384FA1" w:rsidRDefault="007D780C" w:rsidP="00EE61FB">
            <w:pPr>
              <w:rPr>
                <w:rFonts w:ascii="Corbel" w:hAnsi="Corbel"/>
                <w:sz w:val="20"/>
              </w:rPr>
            </w:pPr>
          </w:p>
        </w:tc>
      </w:tr>
      <w:tr w:rsidR="007D780C" w:rsidTr="00096C8D">
        <w:trPr>
          <w:trHeight w:val="1411"/>
        </w:trPr>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Dans la mesure du possible, des étudiants finissants ainsi que des étudiants inscrits au programme de Maîtrise en pratique professionnelle seront jumelés avec des étudiants débutants dans le but de favoriser l’accompagnement (coaching) par les pairs.</w:t>
            </w:r>
          </w:p>
        </w:tc>
        <w:tc>
          <w:tcPr>
            <w:tcW w:w="5386" w:type="dxa"/>
            <w:vAlign w:val="center"/>
          </w:tcPr>
          <w:p w:rsidR="007D780C" w:rsidRPr="00384FA1" w:rsidRDefault="007D780C" w:rsidP="00EE61FB">
            <w:pPr>
              <w:rPr>
                <w:rFonts w:ascii="Corbel" w:hAnsi="Corbel"/>
                <w:sz w:val="20"/>
              </w:rPr>
            </w:pP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Des activités faisant appel à la multidisciplinarité et à l’ « intradisciplinarité » seront prévues dans tous les stages.</w:t>
            </w:r>
          </w:p>
        </w:tc>
        <w:tc>
          <w:tcPr>
            <w:tcW w:w="5386" w:type="dxa"/>
            <w:vAlign w:val="center"/>
          </w:tcPr>
          <w:p w:rsidR="007D780C" w:rsidRPr="00384FA1" w:rsidRDefault="007D780C" w:rsidP="00EE61FB">
            <w:pPr>
              <w:rPr>
                <w:rFonts w:ascii="Corbel" w:hAnsi="Corbel"/>
                <w:sz w:val="20"/>
              </w:rPr>
            </w:pPr>
          </w:p>
        </w:tc>
      </w:tr>
      <w:tr w:rsidR="007D780C" w:rsidTr="00EE61FB">
        <w:tc>
          <w:tcPr>
            <w:tcW w:w="10632" w:type="dxa"/>
            <w:gridSpan w:val="3"/>
            <w:shd w:val="clear" w:color="auto" w:fill="5F497A" w:themeFill="accent4" w:themeFillShade="BF"/>
            <w:vAlign w:val="center"/>
          </w:tcPr>
          <w:p w:rsidR="007D780C" w:rsidRPr="008A6FE2" w:rsidRDefault="006A66C4" w:rsidP="00EE61FB">
            <w:pPr>
              <w:rPr>
                <w:rFonts w:ascii="Corbel" w:hAnsi="Corbel"/>
                <w:b/>
                <w:color w:val="FFFFFF" w:themeColor="background1"/>
                <w:sz w:val="20"/>
              </w:rPr>
            </w:pPr>
            <w:r>
              <w:rPr>
                <w:rFonts w:ascii="Corbel" w:hAnsi="Corbel"/>
                <w:b/>
                <w:color w:val="FFFFFF" w:themeColor="background1"/>
                <w:sz w:val="20"/>
              </w:rPr>
              <w:t xml:space="preserve">Axe : </w:t>
            </w:r>
            <w:r w:rsidR="007D780C" w:rsidRPr="008A6FE2">
              <w:rPr>
                <w:rFonts w:ascii="Corbel" w:hAnsi="Corbel"/>
                <w:b/>
                <w:color w:val="FFFFFF" w:themeColor="background1"/>
                <w:sz w:val="20"/>
              </w:rPr>
              <w:t>DIFFUSION DES COURS</w:t>
            </w:r>
          </w:p>
        </w:tc>
      </w:tr>
      <w:tr w:rsidR="007D780C" w:rsidTr="00EE61FB">
        <w:tc>
          <w:tcPr>
            <w:tcW w:w="10632" w:type="dxa"/>
            <w:gridSpan w:val="3"/>
            <w:shd w:val="clear" w:color="auto" w:fill="CCC0D9" w:themeFill="accent4" w:themeFillTint="66"/>
            <w:vAlign w:val="center"/>
          </w:tcPr>
          <w:p w:rsidR="007D780C" w:rsidRPr="006A66C4" w:rsidRDefault="007D780C" w:rsidP="00EE61FB">
            <w:pPr>
              <w:rPr>
                <w:rFonts w:ascii="Corbel" w:hAnsi="Corbel"/>
                <w:b/>
                <w:sz w:val="20"/>
              </w:rPr>
            </w:pPr>
            <w:r w:rsidRPr="006A66C4">
              <w:rPr>
                <w:rFonts w:ascii="Corbel" w:hAnsi="Corbel"/>
                <w:b/>
                <w:sz w:val="20"/>
              </w:rPr>
              <w:t>Matériel d’apprentissage, modes d’encadrement</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Chaque cours sera décrit à l’aide d’un plan de cours celui-ci étant construit principalement à partir de l’objectif opérationnel.</w:t>
            </w:r>
          </w:p>
        </w:tc>
        <w:tc>
          <w:tcPr>
            <w:tcW w:w="5386" w:type="dxa"/>
            <w:vAlign w:val="center"/>
          </w:tcPr>
          <w:p w:rsidR="007D780C" w:rsidRPr="00384FA1" w:rsidRDefault="00096C8D" w:rsidP="00096C8D">
            <w:pPr>
              <w:rPr>
                <w:rFonts w:ascii="Corbel" w:hAnsi="Corbel"/>
                <w:sz w:val="20"/>
              </w:rPr>
            </w:pPr>
            <w:r w:rsidRPr="009A395D">
              <w:rPr>
                <w:sz w:val="20"/>
              </w:rPr>
              <w:t>Chaque cours sera décrit à l’</w:t>
            </w:r>
            <w:r>
              <w:rPr>
                <w:sz w:val="20"/>
              </w:rPr>
              <w:t>aide d’un plan de cours uniforme.</w:t>
            </w:r>
          </w:p>
        </w:tc>
      </w:tr>
      <w:tr w:rsidR="007D780C" w:rsidTr="00EE61FB">
        <w:tc>
          <w:tcPr>
            <w:tcW w:w="5246" w:type="dxa"/>
            <w:gridSpan w:val="2"/>
            <w:vAlign w:val="center"/>
          </w:tcPr>
          <w:p w:rsidR="007D780C" w:rsidRPr="009A395D" w:rsidRDefault="007D780C"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 matériel d’apprentissage devra être cohérent avec l’approche pédagogique retenue. </w:t>
            </w:r>
          </w:p>
        </w:tc>
        <w:tc>
          <w:tcPr>
            <w:tcW w:w="5386" w:type="dxa"/>
            <w:vAlign w:val="center"/>
          </w:tcPr>
          <w:p w:rsidR="007D780C" w:rsidRPr="00384FA1" w:rsidRDefault="008E2A03" w:rsidP="00EE61FB">
            <w:pPr>
              <w:rPr>
                <w:rFonts w:ascii="Corbel" w:hAnsi="Corbel"/>
                <w:sz w:val="20"/>
              </w:rPr>
            </w:pPr>
            <w:r w:rsidRPr="009A395D">
              <w:rPr>
                <w:sz w:val="20"/>
              </w:rPr>
              <w:t>Le matériel d’apprentissage devra être cohérent avec l’approche pédagogique retenue.</w:t>
            </w:r>
          </w:p>
        </w:tc>
      </w:tr>
      <w:tr w:rsidR="007D780C" w:rsidTr="008E2A03">
        <w:trPr>
          <w:trHeight w:val="1928"/>
        </w:trPr>
        <w:tc>
          <w:tcPr>
            <w:tcW w:w="5246" w:type="dxa"/>
            <w:gridSpan w:val="2"/>
            <w:vAlign w:val="center"/>
          </w:tcPr>
          <w:p w:rsidR="007D780C" w:rsidRPr="009A395D" w:rsidRDefault="007D780C" w:rsidP="00EE61FB">
            <w:pPr>
              <w:rPr>
                <w:sz w:val="20"/>
              </w:rPr>
            </w:pPr>
            <w:r w:rsidRPr="009A395D">
              <w:rPr>
                <w:sz w:val="20"/>
              </w:rPr>
              <w:t>Le « matériel d’apprentissage » comprend habituellement les éléments suivants : documents destinés à l’apprenant (ex : notes de cours, guide d’apprentissage, capsules d’autoformation, etc.), matériel pédagogique des intervenants, ressources externes (ex : volumes de référence, bases de données, sites Web, etc.), matériel d’évaluation formative et matériel d’évaluation certificative</w:t>
            </w:r>
          </w:p>
        </w:tc>
        <w:tc>
          <w:tcPr>
            <w:tcW w:w="5386" w:type="dxa"/>
            <w:vAlign w:val="center"/>
          </w:tcPr>
          <w:p w:rsidR="007D780C" w:rsidRPr="00384FA1" w:rsidRDefault="008E2A03" w:rsidP="008E2A03">
            <w:pPr>
              <w:rPr>
                <w:rFonts w:ascii="Corbel" w:hAnsi="Corbel"/>
                <w:sz w:val="20"/>
              </w:rPr>
            </w:pPr>
            <w:r w:rsidRPr="009A395D">
              <w:rPr>
                <w:sz w:val="20"/>
              </w:rPr>
              <w:t xml:space="preserve">Le « matériel d’apprentissage » comprend habituellement les éléments suivants : documents destinés à l’apprenant (ex : notes de cours, guide d’apprentissage, capsules </w:t>
            </w:r>
            <w:r>
              <w:rPr>
                <w:sz w:val="20"/>
              </w:rPr>
              <w:t xml:space="preserve">baladodiffusion, </w:t>
            </w:r>
            <w:r w:rsidRPr="009A395D">
              <w:rPr>
                <w:sz w:val="20"/>
              </w:rPr>
              <w:t xml:space="preserve"> etc.), matériel pédagogique des intervenants, ressources externes (ex : volumes de référence, bases de données, sites Web, etc.), matériel d’évaluation formative et matériel d’évaluation certificative</w:t>
            </w:r>
          </w:p>
        </w:tc>
      </w:tr>
      <w:tr w:rsidR="008E2A03" w:rsidTr="008E2A03">
        <w:trPr>
          <w:trHeight w:val="1275"/>
        </w:trPr>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Le matériel d’apprentissage produit par les professeurs doit être disponible en format numérique pour favoriser l’accessibilité à tous les intervenants de la Faculté (incluant les étudiants).</w:t>
            </w:r>
          </w:p>
        </w:tc>
        <w:tc>
          <w:tcPr>
            <w:tcW w:w="5386" w:type="dxa"/>
            <w:vAlign w:val="center"/>
          </w:tcPr>
          <w:p w:rsidR="008E2A03" w:rsidRPr="00384FA1" w:rsidRDefault="008E2A03" w:rsidP="008E2A03">
            <w:pPr>
              <w:rPr>
                <w:rFonts w:ascii="Corbel" w:hAnsi="Corbel"/>
                <w:sz w:val="20"/>
              </w:rPr>
            </w:pPr>
            <w:r w:rsidRPr="009A395D">
              <w:rPr>
                <w:sz w:val="20"/>
              </w:rPr>
              <w:t xml:space="preserve">Le matériel d’apprentissage produit par les </w:t>
            </w:r>
            <w:r>
              <w:rPr>
                <w:sz w:val="20"/>
              </w:rPr>
              <w:t>enseignants doit être disponible pour</w:t>
            </w:r>
            <w:r w:rsidRPr="009A395D">
              <w:rPr>
                <w:sz w:val="20"/>
              </w:rPr>
              <w:t xml:space="preserve"> tous les intervenants de la Faculté (incluant les étudiants).</w:t>
            </w:r>
          </w:p>
        </w:tc>
      </w:tr>
      <w:tr w:rsidR="008E2A03" w:rsidTr="008E2A03">
        <w:trPr>
          <w:trHeight w:val="957"/>
        </w:trPr>
        <w:tc>
          <w:tcPr>
            <w:tcW w:w="5246" w:type="dxa"/>
            <w:gridSpan w:val="2"/>
            <w:vAlign w:val="center"/>
          </w:tcPr>
          <w:p w:rsidR="008E2A03" w:rsidRPr="009A395D" w:rsidRDefault="008E2A03" w:rsidP="00EE61FB">
            <w:pPr>
              <w:rPr>
                <w:sz w:val="20"/>
              </w:rPr>
            </w:pPr>
            <w:r w:rsidRPr="009A395D">
              <w:rPr>
                <w:sz w:val="20"/>
              </w:rPr>
              <w:t>Les activités d’apprentissage seront conçues de façon à intégrer l’utilisation du matériel de référence et des outils habituellement disponibles dans la pratique</w:t>
            </w:r>
          </w:p>
        </w:tc>
        <w:tc>
          <w:tcPr>
            <w:tcW w:w="5386" w:type="dxa"/>
            <w:vAlign w:val="center"/>
          </w:tcPr>
          <w:p w:rsidR="008E2A03" w:rsidRPr="00384FA1" w:rsidRDefault="008E2A03" w:rsidP="00EE61FB">
            <w:pPr>
              <w:rPr>
                <w:rFonts w:ascii="Corbel" w:hAnsi="Corbel"/>
                <w:sz w:val="20"/>
              </w:rPr>
            </w:pPr>
            <w:r>
              <w:rPr>
                <w:rFonts w:ascii="Corbel" w:hAnsi="Corbel"/>
                <w:sz w:val="20"/>
              </w:rPr>
              <w:t>NSP</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Pour chaque cours, l’équipe de professeurs responsables doit prévoir des activités conçues pour aider les étudiants en difficulté.</w:t>
            </w:r>
          </w:p>
        </w:tc>
        <w:tc>
          <w:tcPr>
            <w:tcW w:w="5386" w:type="dxa"/>
            <w:vAlign w:val="center"/>
          </w:tcPr>
          <w:p w:rsidR="008E2A03" w:rsidRPr="00384FA1" w:rsidRDefault="008E2A03" w:rsidP="008E2A03">
            <w:pPr>
              <w:rPr>
                <w:rFonts w:ascii="Corbel" w:hAnsi="Corbel"/>
                <w:sz w:val="20"/>
              </w:rPr>
            </w:pPr>
            <w:r>
              <w:rPr>
                <w:rFonts w:ascii="Corbel" w:hAnsi="Corbel"/>
                <w:sz w:val="20"/>
              </w:rPr>
              <w:t>Les enseignants (coach) devront offrir un support personnalisé aux étudiants à distance.</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Des activités de « coaching » pourront être organisées pour favoriser l’implication d’étudiants de 3</w:t>
            </w:r>
            <w:r w:rsidRPr="009A395D">
              <w:rPr>
                <w:rFonts w:asciiTheme="majorHAnsi" w:hAnsiTheme="majorHAnsi"/>
                <w:sz w:val="20"/>
                <w:vertAlign w:val="superscript"/>
              </w:rPr>
              <w:t>e</w:t>
            </w:r>
            <w:r w:rsidRPr="009A395D">
              <w:rPr>
                <w:rFonts w:asciiTheme="majorHAnsi" w:hAnsiTheme="majorHAnsi"/>
                <w:sz w:val="20"/>
              </w:rPr>
              <w:t xml:space="preserve"> et 4</w:t>
            </w:r>
            <w:r w:rsidRPr="009A395D">
              <w:rPr>
                <w:rFonts w:asciiTheme="majorHAnsi" w:hAnsiTheme="majorHAnsi"/>
                <w:sz w:val="20"/>
                <w:vertAlign w:val="superscript"/>
              </w:rPr>
              <w:t>e</w:t>
            </w:r>
            <w:r w:rsidRPr="009A395D">
              <w:rPr>
                <w:rFonts w:asciiTheme="majorHAnsi" w:hAnsiTheme="majorHAnsi"/>
                <w:sz w:val="20"/>
              </w:rPr>
              <w:t xml:space="preserve"> années et d’étudiants inscrits aux études supérieures auprès des étudiants de 1</w:t>
            </w:r>
            <w:r w:rsidRPr="009A395D">
              <w:rPr>
                <w:rFonts w:asciiTheme="majorHAnsi" w:hAnsiTheme="majorHAnsi"/>
                <w:sz w:val="20"/>
                <w:vertAlign w:val="superscript"/>
              </w:rPr>
              <w:t>ère</w:t>
            </w:r>
            <w:r w:rsidRPr="009A395D">
              <w:rPr>
                <w:rFonts w:asciiTheme="majorHAnsi" w:hAnsiTheme="majorHAnsi"/>
                <w:sz w:val="20"/>
              </w:rPr>
              <w:t xml:space="preserve"> et 2</w:t>
            </w:r>
            <w:r w:rsidRPr="009A395D">
              <w:rPr>
                <w:rFonts w:asciiTheme="majorHAnsi" w:hAnsiTheme="majorHAnsi"/>
                <w:sz w:val="20"/>
                <w:vertAlign w:val="superscript"/>
              </w:rPr>
              <w:t>e</w:t>
            </w:r>
            <w:r w:rsidRPr="009A395D">
              <w:rPr>
                <w:rFonts w:asciiTheme="majorHAnsi" w:hAnsiTheme="majorHAnsi"/>
                <w:sz w:val="20"/>
              </w:rPr>
              <w:t xml:space="preserve"> années. </w:t>
            </w:r>
          </w:p>
        </w:tc>
        <w:tc>
          <w:tcPr>
            <w:tcW w:w="5386" w:type="dxa"/>
            <w:vAlign w:val="center"/>
          </w:tcPr>
          <w:p w:rsidR="008E2A03" w:rsidRPr="00384FA1" w:rsidRDefault="008E2A03" w:rsidP="00EE61FB">
            <w:pPr>
              <w:rPr>
                <w:rFonts w:ascii="Corbel" w:hAnsi="Corbel"/>
                <w:sz w:val="20"/>
              </w:rPr>
            </w:pPr>
            <w:r>
              <w:rPr>
                <w:rFonts w:ascii="Corbel" w:hAnsi="Corbel"/>
                <w:sz w:val="20"/>
              </w:rPr>
              <w:t>NSP</w:t>
            </w:r>
          </w:p>
        </w:tc>
      </w:tr>
      <w:tr w:rsidR="008E2A03" w:rsidTr="00EE61FB">
        <w:tc>
          <w:tcPr>
            <w:tcW w:w="10632" w:type="dxa"/>
            <w:gridSpan w:val="3"/>
            <w:shd w:val="clear" w:color="auto" w:fill="CCC0D9" w:themeFill="accent4" w:themeFillTint="66"/>
            <w:vAlign w:val="center"/>
          </w:tcPr>
          <w:p w:rsidR="008E2A03" w:rsidRPr="008A6FE2" w:rsidRDefault="008E2A03" w:rsidP="00EE61FB">
            <w:pPr>
              <w:rPr>
                <w:rFonts w:ascii="Corbel" w:hAnsi="Corbel"/>
                <w:b/>
                <w:sz w:val="20"/>
              </w:rPr>
            </w:pPr>
            <w:r w:rsidRPr="008A6FE2">
              <w:rPr>
                <w:rFonts w:ascii="Corbel" w:hAnsi="Corbel"/>
                <w:b/>
                <w:sz w:val="20"/>
              </w:rPr>
              <w:t>Exploitatioin des TIC</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Chaque étudiant et chaque professeur est réputé avoir les connaissances nécessaires à une utilisation efficace des logiciels de bureautique.</w:t>
            </w:r>
          </w:p>
        </w:tc>
        <w:tc>
          <w:tcPr>
            <w:tcW w:w="5386" w:type="dxa"/>
            <w:vAlign w:val="center"/>
          </w:tcPr>
          <w:p w:rsidR="008E2A03" w:rsidRPr="00384FA1" w:rsidRDefault="008E2A03" w:rsidP="00EE61FB">
            <w:pPr>
              <w:rPr>
                <w:rFonts w:ascii="Corbel" w:hAnsi="Corbel"/>
                <w:sz w:val="20"/>
              </w:rPr>
            </w:pPr>
            <w:r w:rsidRPr="009A395D">
              <w:rPr>
                <w:sz w:val="20"/>
              </w:rPr>
              <w:t>Chaque étudiant et chaque professeur est réputé avoir les connaissances nécessaires à une utilisation efficace des logiciels de bureautique.</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Un support adéquat devra être fourni pour aider les professeurs à la conception de matériel d’apprentissage complexe. </w:t>
            </w:r>
          </w:p>
        </w:tc>
        <w:tc>
          <w:tcPr>
            <w:tcW w:w="5386" w:type="dxa"/>
            <w:vAlign w:val="center"/>
          </w:tcPr>
          <w:p w:rsidR="008E2A03" w:rsidRPr="00384FA1" w:rsidRDefault="00F3277D" w:rsidP="00EE61FB">
            <w:pPr>
              <w:rPr>
                <w:rFonts w:ascii="Corbel" w:hAnsi="Corbel"/>
                <w:sz w:val="20"/>
              </w:rPr>
            </w:pPr>
            <w:r w:rsidRPr="009A395D">
              <w:rPr>
                <w:sz w:val="20"/>
              </w:rPr>
              <w:t>Un support adéquat devra être fourni pour aider les professeurs à la conception de matériel d’apprentissage complexe.</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Afin de favoriser l’implantation efficace du programme, chaque étudiant doit se doter de l’outil recommandé pour toute la durée de ses études.</w:t>
            </w:r>
          </w:p>
        </w:tc>
        <w:tc>
          <w:tcPr>
            <w:tcW w:w="5386" w:type="dxa"/>
            <w:vAlign w:val="center"/>
          </w:tcPr>
          <w:p w:rsidR="008E2A03" w:rsidRPr="00384FA1" w:rsidRDefault="00F82B30" w:rsidP="00EE61FB">
            <w:pPr>
              <w:rPr>
                <w:rFonts w:ascii="Corbel" w:hAnsi="Corbel"/>
                <w:sz w:val="20"/>
              </w:rPr>
            </w:pPr>
            <w:r>
              <w:rPr>
                <w:rFonts w:ascii="Corbel" w:hAnsi="Corbel"/>
                <w:sz w:val="20"/>
              </w:rPr>
              <w:t>Les étudiants auront accès aux références de la bibliothèque ainsi qu’aux ouvrages disponibles sur AccessPharmacy.</w:t>
            </w:r>
          </w:p>
        </w:tc>
      </w:tr>
      <w:tr w:rsidR="008E2A03" w:rsidTr="00EE61FB">
        <w:tc>
          <w:tcPr>
            <w:tcW w:w="10632" w:type="dxa"/>
            <w:gridSpan w:val="3"/>
            <w:shd w:val="clear" w:color="auto" w:fill="5F497A" w:themeFill="accent4" w:themeFillShade="BF"/>
            <w:vAlign w:val="center"/>
          </w:tcPr>
          <w:p w:rsidR="008E2A03" w:rsidRDefault="008E2A03" w:rsidP="00EE61FB">
            <w:pPr>
              <w:rPr>
                <w:rFonts w:ascii="Corbel" w:hAnsi="Corbel"/>
                <w:sz w:val="20"/>
              </w:rPr>
            </w:pPr>
            <w:r>
              <w:rPr>
                <w:color w:val="FFFFFF" w:themeColor="background1"/>
                <w:sz w:val="20"/>
              </w:rPr>
              <w:t xml:space="preserve">Axe : </w:t>
            </w:r>
            <w:r w:rsidRPr="008A6FE2">
              <w:rPr>
                <w:color w:val="FFFFFF" w:themeColor="background1"/>
                <w:sz w:val="20"/>
              </w:rPr>
              <w:t>ÉVALUATION</w:t>
            </w:r>
          </w:p>
        </w:tc>
      </w:tr>
      <w:tr w:rsidR="008E2A03" w:rsidTr="00EE61FB">
        <w:tc>
          <w:tcPr>
            <w:tcW w:w="10632" w:type="dxa"/>
            <w:gridSpan w:val="3"/>
            <w:shd w:val="clear" w:color="auto" w:fill="CCC0D9" w:themeFill="accent4" w:themeFillTint="66"/>
            <w:vAlign w:val="center"/>
          </w:tcPr>
          <w:p w:rsidR="008E2A03" w:rsidRPr="008A6FE2" w:rsidRDefault="008E2A03" w:rsidP="00EE61FB">
            <w:pPr>
              <w:rPr>
                <w:rFonts w:ascii="Corbel" w:hAnsi="Corbel"/>
                <w:b/>
                <w:sz w:val="20"/>
              </w:rPr>
            </w:pPr>
            <w:r w:rsidRPr="008A6FE2">
              <w:rPr>
                <w:b/>
                <w:sz w:val="20"/>
              </w:rPr>
              <w:t>Évaluation des compétences et connaissances</w:t>
            </w:r>
          </w:p>
        </w:tc>
      </w:tr>
      <w:tr w:rsidR="008E2A03" w:rsidTr="009F1C2D">
        <w:trPr>
          <w:trHeight w:val="885"/>
        </w:trPr>
        <w:tc>
          <w:tcPr>
            <w:tcW w:w="5246" w:type="dxa"/>
            <w:gridSpan w:val="2"/>
            <w:vAlign w:val="center"/>
          </w:tcPr>
          <w:p w:rsidR="008E2A03" w:rsidRPr="009F1C2D" w:rsidRDefault="008E2A03" w:rsidP="009F1C2D">
            <w:pPr>
              <w:pStyle w:val="Retrait1"/>
              <w:numPr>
                <w:ilvl w:val="0"/>
                <w:numId w:val="0"/>
              </w:numPr>
              <w:jc w:val="left"/>
              <w:rPr>
                <w:rFonts w:asciiTheme="majorHAnsi" w:hAnsiTheme="majorHAnsi"/>
                <w:sz w:val="20"/>
              </w:rPr>
            </w:pPr>
            <w:r w:rsidRPr="009A395D">
              <w:rPr>
                <w:rFonts w:asciiTheme="majorHAnsi" w:hAnsiTheme="majorHAnsi"/>
                <w:sz w:val="20"/>
              </w:rPr>
              <w:t>Chaque cours doit faire l’objet d’une évaluation certificative.</w:t>
            </w:r>
          </w:p>
        </w:tc>
        <w:tc>
          <w:tcPr>
            <w:tcW w:w="5386" w:type="dxa"/>
            <w:vAlign w:val="center"/>
          </w:tcPr>
          <w:p w:rsidR="008E2A03" w:rsidRPr="00384FA1" w:rsidRDefault="009F1C2D" w:rsidP="00EE61FB">
            <w:pPr>
              <w:rPr>
                <w:rFonts w:ascii="Corbel" w:hAnsi="Corbel"/>
                <w:sz w:val="20"/>
              </w:rPr>
            </w:pPr>
            <w:r w:rsidRPr="009A395D">
              <w:rPr>
                <w:sz w:val="20"/>
              </w:rPr>
              <w:t>Chaque cours doit faire l’objet d’une évaluation certificative</w:t>
            </w:r>
            <w:r>
              <w:rPr>
                <w:sz w:val="20"/>
              </w:rPr>
              <w:t xml:space="preserve"> en milieu contrôlé.</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S’appuyant sur le principe « l’évaluation conditionne l’apprentissage », on doit utiliser l’évaluation formative tout au long du cours pour préparer adéquatement l’étudiant en vue de l’évaluation certificative.</w:t>
            </w:r>
          </w:p>
        </w:tc>
        <w:tc>
          <w:tcPr>
            <w:tcW w:w="5386" w:type="dxa"/>
            <w:vAlign w:val="center"/>
          </w:tcPr>
          <w:p w:rsidR="008E2A03" w:rsidRPr="00384FA1" w:rsidRDefault="00785A00" w:rsidP="00EE61FB">
            <w:pPr>
              <w:rPr>
                <w:rFonts w:ascii="Corbel" w:hAnsi="Corbel"/>
                <w:sz w:val="20"/>
              </w:rPr>
            </w:pPr>
            <w:r w:rsidRPr="009A395D">
              <w:rPr>
                <w:sz w:val="20"/>
              </w:rPr>
              <w:t>S’appuyant sur le principe « l’évaluation conditionne l’apprentissage », on doit utiliser l’évaluation formative tout au long du cours pour préparer adéquatement l’étudiant en vue de l’évaluation certificative.</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Les outils d’évaluation d’un cours doivent être développés par l’équipe de concepteurs : professeurs, chargés de cours et responsables de formation professionnelle.</w:t>
            </w:r>
          </w:p>
        </w:tc>
        <w:tc>
          <w:tcPr>
            <w:tcW w:w="5386" w:type="dxa"/>
            <w:vAlign w:val="center"/>
          </w:tcPr>
          <w:p w:rsidR="008E2A03" w:rsidRPr="00384FA1" w:rsidRDefault="00785A00" w:rsidP="00EE61FB">
            <w:pPr>
              <w:rPr>
                <w:rFonts w:ascii="Corbel" w:hAnsi="Corbel"/>
                <w:sz w:val="20"/>
              </w:rPr>
            </w:pPr>
            <w:r w:rsidRPr="009A395D">
              <w:rPr>
                <w:sz w:val="20"/>
              </w:rPr>
              <w:t>Les outils d’évaluation d’un cours doivent être développés par l’équipe de concepteurs</w:t>
            </w:r>
            <w:r>
              <w:rPr>
                <w:sz w:val="20"/>
              </w:rPr>
              <w:t>.</w:t>
            </w:r>
            <w:r w:rsidRPr="009A395D">
              <w:rPr>
                <w:sz w:val="20"/>
              </w:rPr>
              <w:t> </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 nombre d’activités d’évaluation certificative doit être maintenu au minimum afin de favoriser l’implication de l’étudiant dans les activités d’évaluation formative. </w:t>
            </w:r>
          </w:p>
        </w:tc>
        <w:tc>
          <w:tcPr>
            <w:tcW w:w="5386" w:type="dxa"/>
            <w:vAlign w:val="center"/>
          </w:tcPr>
          <w:p w:rsidR="008E2A03" w:rsidRPr="00384FA1" w:rsidRDefault="00785A00" w:rsidP="00EE61FB">
            <w:pPr>
              <w:rPr>
                <w:rFonts w:ascii="Corbel" w:hAnsi="Corbel"/>
                <w:sz w:val="20"/>
              </w:rPr>
            </w:pPr>
            <w:r>
              <w:rPr>
                <w:rFonts w:ascii="Corbel" w:hAnsi="Corbel"/>
                <w:sz w:val="20"/>
              </w:rPr>
              <w:t>NSP</w:t>
            </w:r>
          </w:p>
        </w:tc>
      </w:tr>
      <w:tr w:rsidR="008E2A03" w:rsidTr="00785A00">
        <w:trPr>
          <w:trHeight w:val="618"/>
        </w:trPr>
        <w:tc>
          <w:tcPr>
            <w:tcW w:w="5246" w:type="dxa"/>
            <w:gridSpan w:val="2"/>
            <w:vAlign w:val="center"/>
          </w:tcPr>
          <w:p w:rsidR="008E2A03" w:rsidRPr="009A395D" w:rsidRDefault="008E2A03" w:rsidP="00EE61FB">
            <w:pPr>
              <w:rPr>
                <w:sz w:val="20"/>
              </w:rPr>
            </w:pPr>
            <w:r w:rsidRPr="009A395D">
              <w:rPr>
                <w:sz w:val="20"/>
              </w:rPr>
              <w:t>L’évaluation des apprentissages doit porter principalement sur les éléments de compétences</w:t>
            </w:r>
          </w:p>
        </w:tc>
        <w:tc>
          <w:tcPr>
            <w:tcW w:w="5386" w:type="dxa"/>
            <w:vAlign w:val="center"/>
          </w:tcPr>
          <w:p w:rsidR="008E2A03" w:rsidRPr="00384FA1" w:rsidRDefault="00785A00" w:rsidP="00EE61FB">
            <w:pPr>
              <w:rPr>
                <w:rFonts w:ascii="Corbel" w:hAnsi="Corbel"/>
                <w:sz w:val="20"/>
              </w:rPr>
            </w:pPr>
            <w:r>
              <w:rPr>
                <w:rFonts w:ascii="Corbel" w:hAnsi="Corbel"/>
                <w:sz w:val="20"/>
              </w:rPr>
              <w:t>NSP</w:t>
            </w:r>
          </w:p>
        </w:tc>
      </w:tr>
      <w:tr w:rsidR="008E2A03" w:rsidTr="00636628">
        <w:trPr>
          <w:trHeight w:val="963"/>
        </w:trPr>
        <w:tc>
          <w:tcPr>
            <w:tcW w:w="5246" w:type="dxa"/>
            <w:gridSpan w:val="2"/>
            <w:vAlign w:val="center"/>
          </w:tcPr>
          <w:p w:rsidR="008E2A03" w:rsidRPr="00636628" w:rsidRDefault="008E2A03" w:rsidP="00636628">
            <w:pPr>
              <w:pStyle w:val="Retrait1"/>
              <w:numPr>
                <w:ilvl w:val="0"/>
                <w:numId w:val="0"/>
              </w:numPr>
              <w:jc w:val="left"/>
              <w:rPr>
                <w:rFonts w:asciiTheme="majorHAnsi" w:hAnsiTheme="majorHAnsi"/>
                <w:sz w:val="20"/>
              </w:rPr>
            </w:pPr>
            <w:r w:rsidRPr="009A395D">
              <w:rPr>
                <w:rFonts w:asciiTheme="majorHAnsi" w:hAnsiTheme="majorHAnsi"/>
                <w:sz w:val="20"/>
              </w:rPr>
              <w:t>On doit concevoir le matériel d’évaluation en mettant l’accent sur les éléments de compétences d’abord, puis sur les connaissances (principes, c</w:t>
            </w:r>
            <w:r w:rsidR="00636628">
              <w:rPr>
                <w:rFonts w:asciiTheme="majorHAnsi" w:hAnsiTheme="majorHAnsi"/>
                <w:sz w:val="20"/>
              </w:rPr>
              <w:t>oncepts, procédures, et faits).</w:t>
            </w:r>
          </w:p>
        </w:tc>
        <w:tc>
          <w:tcPr>
            <w:tcW w:w="5386" w:type="dxa"/>
            <w:vAlign w:val="center"/>
          </w:tcPr>
          <w:p w:rsidR="008E2A03" w:rsidRPr="00384FA1" w:rsidRDefault="00785A00" w:rsidP="00EE61FB">
            <w:pPr>
              <w:rPr>
                <w:rFonts w:ascii="Corbel" w:hAnsi="Corbel"/>
                <w:sz w:val="20"/>
              </w:rPr>
            </w:pPr>
            <w:r>
              <w:rPr>
                <w:rFonts w:ascii="Corbel" w:hAnsi="Corbel"/>
                <w:sz w:val="20"/>
              </w:rPr>
              <w:t>NSP</w:t>
            </w:r>
          </w:p>
        </w:tc>
      </w:tr>
      <w:tr w:rsidR="008E2A03" w:rsidTr="00EE61FB">
        <w:tc>
          <w:tcPr>
            <w:tcW w:w="5246" w:type="dxa"/>
            <w:gridSpan w:val="2"/>
            <w:vAlign w:val="center"/>
          </w:tcPr>
          <w:p w:rsidR="008E2A03" w:rsidRPr="009A395D" w:rsidRDefault="008E2A03" w:rsidP="00EE61FB">
            <w:pPr>
              <w:rPr>
                <w:sz w:val="20"/>
              </w:rPr>
            </w:pPr>
            <w:r w:rsidRPr="009A395D">
              <w:rPr>
                <w:sz w:val="20"/>
              </w:rPr>
              <w:t>Toutes les compétences ou éléments de compétences visés par un cours doivent être évalués sur la base de critères de performance</w:t>
            </w:r>
          </w:p>
        </w:tc>
        <w:tc>
          <w:tcPr>
            <w:tcW w:w="5386" w:type="dxa"/>
            <w:vAlign w:val="center"/>
          </w:tcPr>
          <w:p w:rsidR="008E2A03" w:rsidRPr="00384FA1" w:rsidRDefault="00636628" w:rsidP="00EE61FB">
            <w:pPr>
              <w:rPr>
                <w:rFonts w:ascii="Corbel" w:hAnsi="Corbel"/>
                <w:sz w:val="20"/>
              </w:rPr>
            </w:pPr>
            <w:r>
              <w:rPr>
                <w:rFonts w:ascii="Corbel" w:hAnsi="Corbel"/>
                <w:sz w:val="20"/>
              </w:rPr>
              <w:t>NSP</w:t>
            </w:r>
          </w:p>
        </w:tc>
      </w:tr>
      <w:tr w:rsidR="008E2A03" w:rsidTr="00636628">
        <w:trPr>
          <w:trHeight w:val="932"/>
        </w:trPr>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Les étudiants doivent utiliser un outil approprié (par exemple, le portfolio) pour consigner l’évolution des compétences transversales. </w:t>
            </w:r>
          </w:p>
        </w:tc>
        <w:tc>
          <w:tcPr>
            <w:tcW w:w="5386" w:type="dxa"/>
            <w:vAlign w:val="center"/>
          </w:tcPr>
          <w:p w:rsidR="008E2A03" w:rsidRPr="00384FA1" w:rsidRDefault="00636628" w:rsidP="00EE61FB">
            <w:pPr>
              <w:rPr>
                <w:rFonts w:ascii="Corbel" w:hAnsi="Corbel"/>
                <w:sz w:val="20"/>
              </w:rPr>
            </w:pPr>
            <w:r>
              <w:rPr>
                <w:rFonts w:ascii="Corbel" w:hAnsi="Corbel"/>
                <w:sz w:val="20"/>
              </w:rPr>
              <w:t>NSP</w:t>
            </w:r>
          </w:p>
        </w:tc>
      </w:tr>
      <w:tr w:rsidR="008E2A03" w:rsidTr="00EE61FB">
        <w:tc>
          <w:tcPr>
            <w:tcW w:w="5246" w:type="dxa"/>
            <w:gridSpan w:val="2"/>
            <w:vAlign w:val="center"/>
          </w:tcPr>
          <w:p w:rsidR="008E2A03" w:rsidRPr="00DA1D47"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On doit prévoir des activités d’évaluation formative accompagnées d’activités réflexives, par exemple sous la forme d’autoévaluation ou d’évaluation par les pairs.</w:t>
            </w:r>
          </w:p>
        </w:tc>
        <w:tc>
          <w:tcPr>
            <w:tcW w:w="5386" w:type="dxa"/>
            <w:vAlign w:val="center"/>
          </w:tcPr>
          <w:p w:rsidR="008E2A03" w:rsidRPr="00384FA1" w:rsidRDefault="00636628" w:rsidP="00EE61FB">
            <w:pPr>
              <w:rPr>
                <w:rFonts w:ascii="Corbel" w:hAnsi="Corbel"/>
                <w:sz w:val="20"/>
              </w:rPr>
            </w:pPr>
            <w:r w:rsidRPr="009A395D">
              <w:rPr>
                <w:sz w:val="20"/>
              </w:rPr>
              <w:t>On doit prévoir des activités d’évaluation formative accompagnées d’activités réflexives, par exemple sous la forme d’autoévaluation ou d’évaluation par les pairs.</w:t>
            </w:r>
          </w:p>
        </w:tc>
      </w:tr>
      <w:tr w:rsidR="008E2A03" w:rsidTr="00EE61FB">
        <w:tc>
          <w:tcPr>
            <w:tcW w:w="10632" w:type="dxa"/>
            <w:gridSpan w:val="3"/>
            <w:shd w:val="clear" w:color="auto" w:fill="CCC0D9" w:themeFill="accent4" w:themeFillTint="66"/>
            <w:vAlign w:val="center"/>
          </w:tcPr>
          <w:p w:rsidR="008E2A03" w:rsidRPr="008A6FE2" w:rsidRDefault="008E2A03" w:rsidP="00EE61FB">
            <w:pPr>
              <w:rPr>
                <w:rFonts w:ascii="Corbel" w:hAnsi="Corbel"/>
                <w:b/>
                <w:sz w:val="20"/>
              </w:rPr>
            </w:pPr>
            <w:r w:rsidRPr="008A6FE2">
              <w:rPr>
                <w:rFonts w:ascii="Corbel" w:hAnsi="Corbel"/>
                <w:b/>
                <w:sz w:val="20"/>
              </w:rPr>
              <w:t>Évaluation certificative des compétences et connaissances</w:t>
            </w:r>
          </w:p>
        </w:tc>
      </w:tr>
      <w:tr w:rsidR="008E2A03" w:rsidTr="00636628">
        <w:trPr>
          <w:trHeight w:val="579"/>
        </w:trPr>
        <w:tc>
          <w:tcPr>
            <w:tcW w:w="5246" w:type="dxa"/>
            <w:gridSpan w:val="2"/>
            <w:vAlign w:val="center"/>
          </w:tcPr>
          <w:p w:rsidR="008E2A03" w:rsidRPr="009A395D" w:rsidRDefault="008E2A03" w:rsidP="00EE61FB">
            <w:pPr>
              <w:rPr>
                <w:sz w:val="20"/>
              </w:rPr>
            </w:pPr>
            <w:r w:rsidRPr="009A395D">
              <w:rPr>
                <w:sz w:val="20"/>
              </w:rPr>
              <w:t>L’évaluation certificative doit confirmer l’atteinte d’un niveau de performance attendu</w:t>
            </w:r>
            <w:r w:rsidR="00636628">
              <w:rPr>
                <w:sz w:val="20"/>
              </w:rPr>
              <w:t>.</w:t>
            </w:r>
          </w:p>
        </w:tc>
        <w:tc>
          <w:tcPr>
            <w:tcW w:w="5386" w:type="dxa"/>
            <w:vAlign w:val="center"/>
          </w:tcPr>
          <w:p w:rsidR="008E2A03" w:rsidRPr="00384FA1" w:rsidRDefault="00636628" w:rsidP="00EE61FB">
            <w:pPr>
              <w:rPr>
                <w:rFonts w:ascii="Corbel" w:hAnsi="Corbel"/>
                <w:sz w:val="20"/>
              </w:rPr>
            </w:pPr>
            <w:r w:rsidRPr="009A395D">
              <w:rPr>
                <w:sz w:val="20"/>
              </w:rPr>
              <w:t>L’évaluation certificative doit confirmer l’atteinte d’un niveau de performance attendu</w:t>
            </w:r>
            <w:r>
              <w:rPr>
                <w:sz w:val="20"/>
              </w:rPr>
              <w:t>.</w:t>
            </w:r>
          </w:p>
        </w:tc>
      </w:tr>
      <w:tr w:rsidR="008E2A03" w:rsidTr="00EE61FB">
        <w:tc>
          <w:tcPr>
            <w:tcW w:w="5246" w:type="dxa"/>
            <w:gridSpan w:val="2"/>
            <w:vAlign w:val="center"/>
          </w:tcPr>
          <w:p w:rsidR="008E2A03" w:rsidRPr="009A395D" w:rsidRDefault="008E2A03" w:rsidP="00EE61FB">
            <w:pPr>
              <w:rPr>
                <w:sz w:val="20"/>
              </w:rPr>
            </w:pPr>
            <w:r w:rsidRPr="009A395D">
              <w:rPr>
                <w:sz w:val="20"/>
              </w:rPr>
              <w:t>Les évaluations certificatives doivent recourir à diverses techniques reconnues (question à choix multiples, question ouverte courte, question à développement, dissertation, examen oral, ECOS); ces techniques sont sélectionnées en fonction du type de compétence visée et des connaissances à acquérir</w:t>
            </w:r>
          </w:p>
        </w:tc>
        <w:tc>
          <w:tcPr>
            <w:tcW w:w="5386" w:type="dxa"/>
            <w:vAlign w:val="center"/>
          </w:tcPr>
          <w:p w:rsidR="008E2A03" w:rsidRPr="00384FA1" w:rsidRDefault="00494DE1" w:rsidP="00EE61FB">
            <w:pPr>
              <w:rPr>
                <w:rFonts w:ascii="Corbel" w:hAnsi="Corbel"/>
                <w:sz w:val="20"/>
              </w:rPr>
            </w:pPr>
            <w:r w:rsidRPr="009A395D">
              <w:rPr>
                <w:sz w:val="20"/>
              </w:rPr>
              <w:t>Les évaluations certificatives doivent recourir à diverses techniques reconnues (question à choix multiples, question ouverte courte, question à développement, dissertation, examen oral, ECOS); ces techniques sont sélectionnées en fonction du type de compétence visée et des connaissances à acquérir</w:t>
            </w:r>
          </w:p>
        </w:tc>
      </w:tr>
      <w:tr w:rsidR="008E2A03" w:rsidTr="00EE61FB">
        <w:tc>
          <w:tcPr>
            <w:tcW w:w="5246" w:type="dxa"/>
            <w:gridSpan w:val="2"/>
            <w:vAlign w:val="center"/>
          </w:tcPr>
          <w:p w:rsidR="008E2A03" w:rsidRPr="009A395D" w:rsidRDefault="008E2A03" w:rsidP="00EE61FB">
            <w:pPr>
              <w:rPr>
                <w:sz w:val="20"/>
              </w:rPr>
            </w:pPr>
            <w:r w:rsidRPr="009A395D">
              <w:rPr>
                <w:sz w:val="20"/>
              </w:rPr>
              <w:t>Les évaluations certificatives doivent être basées sur la performance individuelle; dans le cas d’une production d’équipe, on devra prévoir un mécanisme supplémentaire pour s’assurer de l’atteinte des objectifs par chacun des équipiers</w:t>
            </w:r>
          </w:p>
        </w:tc>
        <w:tc>
          <w:tcPr>
            <w:tcW w:w="5386" w:type="dxa"/>
            <w:vAlign w:val="center"/>
          </w:tcPr>
          <w:p w:rsidR="008E2A03" w:rsidRPr="00384FA1" w:rsidRDefault="00494DE1" w:rsidP="00EE61FB">
            <w:pPr>
              <w:rPr>
                <w:rFonts w:ascii="Corbel" w:hAnsi="Corbel"/>
                <w:sz w:val="20"/>
              </w:rPr>
            </w:pPr>
            <w:r w:rsidRPr="009A395D">
              <w:rPr>
                <w:sz w:val="20"/>
              </w:rPr>
              <w:t>Les évaluations certificatives doivent être basées sur la performance individuelle; dans le cas d’une production d’équipe, on devra prévoir un mécanisme supplémentaire pour s’assurer de l’atteinte des objectifs par chacun des équipiers</w:t>
            </w:r>
          </w:p>
        </w:tc>
      </w:tr>
      <w:tr w:rsidR="004D16D8" w:rsidTr="004D16D8">
        <w:trPr>
          <w:trHeight w:val="707"/>
        </w:trPr>
        <w:tc>
          <w:tcPr>
            <w:tcW w:w="5246" w:type="dxa"/>
            <w:gridSpan w:val="2"/>
            <w:vAlign w:val="center"/>
          </w:tcPr>
          <w:p w:rsidR="004D16D8" w:rsidRPr="009A395D" w:rsidRDefault="004D16D8" w:rsidP="004D16D8">
            <w:pPr>
              <w:pStyle w:val="Retrait1"/>
              <w:numPr>
                <w:ilvl w:val="0"/>
                <w:numId w:val="0"/>
              </w:numPr>
              <w:jc w:val="left"/>
              <w:rPr>
                <w:rFonts w:asciiTheme="majorHAnsi" w:hAnsiTheme="majorHAnsi"/>
                <w:sz w:val="20"/>
              </w:rPr>
            </w:pPr>
          </w:p>
        </w:tc>
        <w:tc>
          <w:tcPr>
            <w:tcW w:w="5386" w:type="dxa"/>
            <w:vAlign w:val="center"/>
          </w:tcPr>
          <w:p w:rsidR="004D16D8" w:rsidRDefault="004D16D8" w:rsidP="004D16D8">
            <w:pPr>
              <w:rPr>
                <w:rFonts w:ascii="Corbel" w:hAnsi="Corbel"/>
                <w:sz w:val="20"/>
              </w:rPr>
            </w:pPr>
            <w:r>
              <w:rPr>
                <w:rFonts w:ascii="Corbel" w:hAnsi="Corbel"/>
                <w:sz w:val="20"/>
              </w:rPr>
              <w:t>Certains examens  peuvent être à date fixe et regrouper plusieurs étudiants en présence.</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Les seuls travaux d’équipe menant à une note unique pour l’équipe sont ceux qui reflètent une situation professionnelle réelle qui nécessiterait, elle aussi, un travail d’équipe. </w:t>
            </w:r>
          </w:p>
        </w:tc>
        <w:tc>
          <w:tcPr>
            <w:tcW w:w="5386" w:type="dxa"/>
            <w:vAlign w:val="center"/>
          </w:tcPr>
          <w:p w:rsidR="008E2A03" w:rsidRPr="00384FA1" w:rsidRDefault="00494DE1" w:rsidP="00EE61FB">
            <w:pPr>
              <w:rPr>
                <w:rFonts w:ascii="Corbel" w:hAnsi="Corbel"/>
                <w:sz w:val="20"/>
              </w:rPr>
            </w:pPr>
            <w:r w:rsidRPr="009A395D">
              <w:rPr>
                <w:sz w:val="20"/>
              </w:rPr>
              <w:t>Les seuls travaux d’équipe menant à une note unique pour l’équipe sont ceux qui reflètent une situation professionnelle réelle qui nécessiterait, elle aussi, un travail d’équipe.</w:t>
            </w:r>
          </w:p>
        </w:tc>
      </w:tr>
      <w:tr w:rsidR="008E2A03" w:rsidTr="00EE61FB">
        <w:tc>
          <w:tcPr>
            <w:tcW w:w="10632" w:type="dxa"/>
            <w:gridSpan w:val="3"/>
            <w:shd w:val="clear" w:color="auto" w:fill="CCC0D9" w:themeFill="accent4" w:themeFillTint="66"/>
            <w:vAlign w:val="center"/>
          </w:tcPr>
          <w:p w:rsidR="008E2A03" w:rsidRPr="008A6FE2" w:rsidRDefault="008E2A03" w:rsidP="00EE61FB">
            <w:pPr>
              <w:rPr>
                <w:rFonts w:ascii="Corbel" w:hAnsi="Corbel"/>
                <w:b/>
                <w:sz w:val="20"/>
              </w:rPr>
            </w:pPr>
            <w:r w:rsidRPr="008A6FE2">
              <w:rPr>
                <w:b/>
                <w:sz w:val="20"/>
              </w:rPr>
              <w:t>Évaluation formative des apprentissages</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Des activités d’évaluation formative devront être offertes tout au long du cours.</w:t>
            </w:r>
          </w:p>
        </w:tc>
        <w:tc>
          <w:tcPr>
            <w:tcW w:w="5386" w:type="dxa"/>
            <w:vAlign w:val="center"/>
          </w:tcPr>
          <w:p w:rsidR="008E2A03" w:rsidRPr="00384FA1" w:rsidRDefault="00494DE1" w:rsidP="00EE61FB">
            <w:pPr>
              <w:rPr>
                <w:rFonts w:ascii="Corbel" w:hAnsi="Corbel"/>
                <w:sz w:val="20"/>
              </w:rPr>
            </w:pPr>
            <w:r w:rsidRPr="009A395D">
              <w:rPr>
                <w:sz w:val="20"/>
              </w:rPr>
              <w:t>Des activités d’évaluation formative devront être offertes tout au long du cours.</w:t>
            </w:r>
          </w:p>
        </w:tc>
      </w:tr>
      <w:tr w:rsidR="008E2A03" w:rsidTr="00EE61FB">
        <w:tc>
          <w:tcPr>
            <w:tcW w:w="5246" w:type="dxa"/>
            <w:gridSpan w:val="2"/>
            <w:vAlign w:val="center"/>
          </w:tcPr>
          <w:p w:rsidR="008E2A03" w:rsidRPr="009A395D" w:rsidRDefault="008E2A03" w:rsidP="00EE61FB">
            <w:pPr>
              <w:rPr>
                <w:sz w:val="20"/>
              </w:rPr>
            </w:pPr>
            <w:r w:rsidRPr="009A395D">
              <w:rPr>
                <w:sz w:val="20"/>
              </w:rPr>
              <w:t>Dans un contexte d’évaluation formative, les rétroactions doivent parvenir aux étudiants dans des délais adaptés aux objectifs de l’évaluation. À cette fin, l’ordinateur demeure un outil privilégié</w:t>
            </w:r>
          </w:p>
        </w:tc>
        <w:tc>
          <w:tcPr>
            <w:tcW w:w="5386" w:type="dxa"/>
            <w:vAlign w:val="center"/>
          </w:tcPr>
          <w:p w:rsidR="008E2A03" w:rsidRPr="00384FA1" w:rsidRDefault="00494DE1" w:rsidP="00494DE1">
            <w:pPr>
              <w:rPr>
                <w:rFonts w:ascii="Corbel" w:hAnsi="Corbel"/>
                <w:sz w:val="20"/>
              </w:rPr>
            </w:pPr>
            <w:r w:rsidRPr="009A395D">
              <w:rPr>
                <w:sz w:val="20"/>
              </w:rPr>
              <w:t xml:space="preserve">Dans un contexte d’évaluation formative, les rétroactions doivent parvenir aux étudiants dans des délais adaptés aux objectifs de l’évaluation. </w:t>
            </w:r>
          </w:p>
        </w:tc>
      </w:tr>
      <w:tr w:rsidR="008E2A03" w:rsidTr="00494DE1">
        <w:trPr>
          <w:trHeight w:val="697"/>
        </w:trPr>
        <w:tc>
          <w:tcPr>
            <w:tcW w:w="5246" w:type="dxa"/>
            <w:gridSpan w:val="2"/>
            <w:vAlign w:val="center"/>
          </w:tcPr>
          <w:p w:rsidR="008E2A03" w:rsidRPr="009A395D" w:rsidRDefault="008E2A03" w:rsidP="00EE61FB">
            <w:pPr>
              <w:rPr>
                <w:sz w:val="20"/>
              </w:rPr>
            </w:pPr>
            <w:r w:rsidRPr="009A395D">
              <w:rPr>
                <w:sz w:val="20"/>
              </w:rPr>
              <w:t>Suite à l’évaluation formative, des mécanismes de remédiation doivent être disponibles pour les étudiants</w:t>
            </w:r>
          </w:p>
        </w:tc>
        <w:tc>
          <w:tcPr>
            <w:tcW w:w="5386" w:type="dxa"/>
            <w:vAlign w:val="center"/>
          </w:tcPr>
          <w:p w:rsidR="008E2A03" w:rsidRPr="00384FA1" w:rsidRDefault="00494DE1" w:rsidP="00494DE1">
            <w:pPr>
              <w:rPr>
                <w:rFonts w:ascii="Corbel" w:hAnsi="Corbel"/>
                <w:sz w:val="20"/>
              </w:rPr>
            </w:pPr>
            <w:r w:rsidRPr="009A395D">
              <w:rPr>
                <w:sz w:val="20"/>
              </w:rPr>
              <w:t xml:space="preserve">Suite à l’évaluation formative, </w:t>
            </w:r>
            <w:r>
              <w:rPr>
                <w:sz w:val="20"/>
              </w:rPr>
              <w:t>du support doit être offert aux étudiants, au besoin.</w:t>
            </w:r>
          </w:p>
        </w:tc>
      </w:tr>
      <w:tr w:rsidR="008E2A03" w:rsidTr="00494DE1">
        <w:trPr>
          <w:trHeight w:val="707"/>
        </w:trPr>
        <w:tc>
          <w:tcPr>
            <w:tcW w:w="5246" w:type="dxa"/>
            <w:gridSpan w:val="2"/>
            <w:vAlign w:val="center"/>
          </w:tcPr>
          <w:p w:rsidR="008E2A03" w:rsidRPr="009A395D" w:rsidRDefault="008E2A03" w:rsidP="00EE61FB">
            <w:pPr>
              <w:rPr>
                <w:sz w:val="20"/>
              </w:rPr>
            </w:pPr>
            <w:r w:rsidRPr="009A395D">
              <w:rPr>
                <w:sz w:val="20"/>
              </w:rPr>
              <w:t>Les activités de remédiation doivent être conçues de façon à inciter l’étudiant à s’investir dans les activités d’apprentissage</w:t>
            </w:r>
          </w:p>
        </w:tc>
        <w:tc>
          <w:tcPr>
            <w:tcW w:w="5386" w:type="dxa"/>
            <w:vAlign w:val="center"/>
          </w:tcPr>
          <w:p w:rsidR="008E2A03" w:rsidRPr="00384FA1" w:rsidRDefault="00EC1827" w:rsidP="00EE61FB">
            <w:pPr>
              <w:rPr>
                <w:rFonts w:ascii="Corbel" w:hAnsi="Corbel"/>
                <w:sz w:val="20"/>
              </w:rPr>
            </w:pPr>
            <w:r>
              <w:rPr>
                <w:rFonts w:ascii="Corbel" w:hAnsi="Corbel"/>
                <w:sz w:val="20"/>
              </w:rPr>
              <w:t>NSP</w:t>
            </w:r>
          </w:p>
        </w:tc>
      </w:tr>
      <w:tr w:rsidR="008E2A03" w:rsidTr="00EE61FB">
        <w:tc>
          <w:tcPr>
            <w:tcW w:w="10632" w:type="dxa"/>
            <w:gridSpan w:val="3"/>
            <w:shd w:val="clear" w:color="auto" w:fill="CCC0D9" w:themeFill="accent4" w:themeFillTint="66"/>
            <w:vAlign w:val="center"/>
          </w:tcPr>
          <w:p w:rsidR="008E2A03" w:rsidRPr="008A6FE2" w:rsidRDefault="008E2A03" w:rsidP="00EE61FB">
            <w:pPr>
              <w:rPr>
                <w:rFonts w:ascii="Corbel" w:hAnsi="Corbel"/>
                <w:b/>
                <w:sz w:val="20"/>
              </w:rPr>
            </w:pPr>
            <w:r w:rsidRPr="008A6FE2">
              <w:rPr>
                <w:b/>
                <w:sz w:val="20"/>
              </w:rPr>
              <w:t>Relatifs au matériel d’évaluation</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On devra élaborer des mécanismes d’évaluation (processus, grille de correction, indicateurs de performance, formation des évaluateurs) pour assurer objectivité et cohérence.</w:t>
            </w:r>
          </w:p>
        </w:tc>
        <w:tc>
          <w:tcPr>
            <w:tcW w:w="5386" w:type="dxa"/>
            <w:vAlign w:val="center"/>
          </w:tcPr>
          <w:p w:rsidR="008E2A03" w:rsidRPr="00384FA1" w:rsidRDefault="00EC1827" w:rsidP="00EE61FB">
            <w:pPr>
              <w:rPr>
                <w:rFonts w:ascii="Corbel" w:hAnsi="Corbel"/>
                <w:sz w:val="20"/>
              </w:rPr>
            </w:pPr>
            <w:r w:rsidRPr="009A395D">
              <w:rPr>
                <w:sz w:val="20"/>
              </w:rPr>
              <w:t>On devra élaborer des mécanismes d’évaluation (processus, grille de correction, indicateurs de performance, formation des évaluateurs) pour assurer objectivité et cohérence.</w:t>
            </w:r>
          </w:p>
        </w:tc>
      </w:tr>
      <w:tr w:rsidR="008E2A03" w:rsidTr="00EC1827">
        <w:trPr>
          <w:trHeight w:val="1017"/>
        </w:trPr>
        <w:tc>
          <w:tcPr>
            <w:tcW w:w="5246" w:type="dxa"/>
            <w:gridSpan w:val="2"/>
            <w:vAlign w:val="center"/>
          </w:tcPr>
          <w:p w:rsidR="008E2A03" w:rsidRPr="009A395D" w:rsidRDefault="008E2A03" w:rsidP="00EE61FB">
            <w:pPr>
              <w:rPr>
                <w:sz w:val="20"/>
              </w:rPr>
            </w:pPr>
            <w:r w:rsidRPr="009A395D">
              <w:rPr>
                <w:sz w:val="20"/>
              </w:rPr>
              <w:t>Il est possible d’avoir recours à des évaluations à livre ouvert en fonction des compétences visées par le cours et en tenant compte de leur déploiement dans des conditions de pratique professionnelle</w:t>
            </w:r>
          </w:p>
        </w:tc>
        <w:tc>
          <w:tcPr>
            <w:tcW w:w="5386" w:type="dxa"/>
            <w:vAlign w:val="center"/>
          </w:tcPr>
          <w:p w:rsidR="008E2A03" w:rsidRPr="00384FA1" w:rsidRDefault="00EC1827" w:rsidP="00EE61FB">
            <w:pPr>
              <w:rPr>
                <w:rFonts w:ascii="Corbel" w:hAnsi="Corbel"/>
                <w:sz w:val="20"/>
              </w:rPr>
            </w:pPr>
            <w:r w:rsidRPr="009A395D">
              <w:rPr>
                <w:sz w:val="20"/>
              </w:rPr>
              <w:t>Il est possible d’avoir recours à des évaluations à livre ouvert en fonction des compétences visées par le cours et en tenant compte de leur déploiement dans des conditions de pratique professionnelle</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On devra mettre en place des mécanismes de correction électronique, d’évaluation et de gestion des examens assistés par ordinateur.</w:t>
            </w:r>
          </w:p>
        </w:tc>
        <w:tc>
          <w:tcPr>
            <w:tcW w:w="5386" w:type="dxa"/>
            <w:vAlign w:val="center"/>
          </w:tcPr>
          <w:p w:rsidR="008E2A03" w:rsidRPr="00384FA1" w:rsidRDefault="00EC1827" w:rsidP="00EE61FB">
            <w:pPr>
              <w:rPr>
                <w:rFonts w:ascii="Corbel" w:hAnsi="Corbel"/>
                <w:sz w:val="20"/>
              </w:rPr>
            </w:pPr>
            <w:r w:rsidRPr="009A395D">
              <w:rPr>
                <w:sz w:val="20"/>
              </w:rPr>
              <w:t>On devra mettre en place des mécanismes de correction électronique, d’évaluation et de gestion des examens assistés par ordinateur.</w:t>
            </w:r>
          </w:p>
        </w:tc>
      </w:tr>
      <w:tr w:rsidR="008E2A03" w:rsidTr="00EE61FB">
        <w:tc>
          <w:tcPr>
            <w:tcW w:w="10632" w:type="dxa"/>
            <w:gridSpan w:val="3"/>
            <w:shd w:val="clear" w:color="auto" w:fill="CCC0D9" w:themeFill="accent4" w:themeFillTint="66"/>
            <w:vAlign w:val="center"/>
          </w:tcPr>
          <w:p w:rsidR="008E2A03" w:rsidRPr="00384FA1" w:rsidRDefault="008E2A03" w:rsidP="00EE61FB">
            <w:pPr>
              <w:rPr>
                <w:rFonts w:ascii="Corbel" w:hAnsi="Corbel"/>
                <w:sz w:val="20"/>
              </w:rPr>
            </w:pPr>
            <w:r w:rsidRPr="008A6FE2">
              <w:rPr>
                <w:b/>
                <w:sz w:val="20"/>
              </w:rPr>
              <w:t>Évaluation de la qualité de la formation</w:t>
            </w:r>
          </w:p>
        </w:tc>
      </w:tr>
      <w:tr w:rsidR="008E2A03" w:rsidTr="00EC1827">
        <w:trPr>
          <w:trHeight w:val="1264"/>
        </w:trPr>
        <w:tc>
          <w:tcPr>
            <w:tcW w:w="5246" w:type="dxa"/>
            <w:gridSpan w:val="2"/>
            <w:vAlign w:val="center"/>
          </w:tcPr>
          <w:p w:rsidR="008E2A03" w:rsidRPr="009A395D" w:rsidRDefault="008E2A03" w:rsidP="00EE61FB">
            <w:pPr>
              <w:rPr>
                <w:sz w:val="20"/>
              </w:rPr>
            </w:pPr>
            <w:r w:rsidRPr="009A395D">
              <w:rPr>
                <w:sz w:val="20"/>
              </w:rPr>
              <w:t>On doit créer un Comité de gestion de la qualité dont les responsabilités consistent à évaluer la qualité du programme, notamment la cohérence entre le curriculum prévu et le curriculum déployé</w:t>
            </w:r>
          </w:p>
        </w:tc>
        <w:tc>
          <w:tcPr>
            <w:tcW w:w="5386" w:type="dxa"/>
            <w:vAlign w:val="center"/>
          </w:tcPr>
          <w:p w:rsidR="008E2A03" w:rsidRPr="00384FA1" w:rsidRDefault="00EC1827" w:rsidP="00EE61FB">
            <w:pPr>
              <w:rPr>
                <w:rFonts w:ascii="Corbel" w:hAnsi="Corbel"/>
                <w:sz w:val="20"/>
              </w:rPr>
            </w:pPr>
            <w:r w:rsidRPr="009A395D">
              <w:rPr>
                <w:sz w:val="20"/>
              </w:rPr>
              <w:t>On doit créer un Comité de gestion de la qualité dont les responsabilités consistent à évaluer la qualité du programme, notamment la cohérence entre le curriculum prévu et le curriculum déployé</w:t>
            </w:r>
          </w:p>
        </w:tc>
      </w:tr>
      <w:tr w:rsidR="008E2A03" w:rsidTr="00EC1827">
        <w:trPr>
          <w:trHeight w:val="1254"/>
        </w:trPr>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Ce comité supervise également la qualité de la formation incluant notamment la qualité et la pertinence du matériel d’apprentissage et d’évaluation en regard des objectifs opérationnels du cours.</w:t>
            </w:r>
          </w:p>
        </w:tc>
        <w:tc>
          <w:tcPr>
            <w:tcW w:w="5386" w:type="dxa"/>
            <w:vAlign w:val="center"/>
          </w:tcPr>
          <w:p w:rsidR="008E2A03" w:rsidRPr="00384FA1" w:rsidRDefault="00F60AD0" w:rsidP="00F60AD0">
            <w:pPr>
              <w:rPr>
                <w:rFonts w:ascii="Corbel" w:hAnsi="Corbel"/>
                <w:sz w:val="20"/>
              </w:rPr>
            </w:pPr>
            <w:r w:rsidRPr="009A395D">
              <w:rPr>
                <w:sz w:val="20"/>
              </w:rPr>
              <w:t>Ce comité supervise également la qualité de la formation incluant notamment la qualité et la pertinence du matériel d’apprentissage et d’évaluation en regard des objectifs du cours.</w:t>
            </w:r>
          </w:p>
        </w:tc>
      </w:tr>
      <w:tr w:rsidR="008E2A03" w:rsidTr="00EC1827">
        <w:trPr>
          <w:trHeight w:val="704"/>
        </w:trPr>
        <w:tc>
          <w:tcPr>
            <w:tcW w:w="5246" w:type="dxa"/>
            <w:gridSpan w:val="2"/>
            <w:vAlign w:val="center"/>
          </w:tcPr>
          <w:p w:rsidR="008E2A03" w:rsidRPr="009A395D" w:rsidRDefault="008E2A03" w:rsidP="00EE61FB">
            <w:pPr>
              <w:rPr>
                <w:sz w:val="20"/>
              </w:rPr>
            </w:pPr>
            <w:r w:rsidRPr="009A395D">
              <w:rPr>
                <w:sz w:val="20"/>
              </w:rPr>
              <w:t>En plus de veiller à la qualité, le comité propose les améliorations nécessaires et veille à leur implantation</w:t>
            </w:r>
          </w:p>
        </w:tc>
        <w:tc>
          <w:tcPr>
            <w:tcW w:w="5386" w:type="dxa"/>
            <w:vAlign w:val="center"/>
          </w:tcPr>
          <w:p w:rsidR="008E2A03" w:rsidRPr="00384FA1" w:rsidRDefault="00F60AD0" w:rsidP="00EE61FB">
            <w:pPr>
              <w:rPr>
                <w:rFonts w:ascii="Corbel" w:hAnsi="Corbel"/>
                <w:sz w:val="20"/>
              </w:rPr>
            </w:pPr>
            <w:r w:rsidRPr="009A395D">
              <w:rPr>
                <w:sz w:val="20"/>
              </w:rPr>
              <w:t>En plus de veiller à la qualité, le comité propose les améliorations nécessaires et veille à leur implantation</w:t>
            </w:r>
          </w:p>
        </w:tc>
      </w:tr>
      <w:tr w:rsidR="008E2A03" w:rsidTr="00EE61FB">
        <w:tc>
          <w:tcPr>
            <w:tcW w:w="5246" w:type="dxa"/>
            <w:gridSpan w:val="2"/>
            <w:shd w:val="clear" w:color="auto" w:fill="5F497A" w:themeFill="accent4" w:themeFillShade="BF"/>
            <w:vAlign w:val="center"/>
          </w:tcPr>
          <w:p w:rsidR="008E2A03" w:rsidRPr="00C74B80" w:rsidRDefault="008E2A03" w:rsidP="00EE61FB">
            <w:pPr>
              <w:rPr>
                <w:b/>
                <w:color w:val="FFFFFF" w:themeColor="background1"/>
                <w:sz w:val="20"/>
              </w:rPr>
            </w:pPr>
            <w:r>
              <w:rPr>
                <w:b/>
                <w:color w:val="FFFFFF" w:themeColor="background1"/>
                <w:sz w:val="20"/>
              </w:rPr>
              <w:t xml:space="preserve">Axe : </w:t>
            </w:r>
            <w:r w:rsidRPr="00C74B80">
              <w:rPr>
                <w:b/>
                <w:color w:val="FFFFFF" w:themeColor="background1"/>
                <w:sz w:val="20"/>
              </w:rPr>
              <w:t>RÉGLEMENTATION PÉDAGOGIQUE</w:t>
            </w:r>
          </w:p>
        </w:tc>
        <w:tc>
          <w:tcPr>
            <w:tcW w:w="5386" w:type="dxa"/>
            <w:shd w:val="clear" w:color="auto" w:fill="5F497A" w:themeFill="accent4" w:themeFillShade="BF"/>
            <w:vAlign w:val="center"/>
          </w:tcPr>
          <w:p w:rsidR="008E2A03" w:rsidRPr="00C74B80" w:rsidRDefault="008E2A03" w:rsidP="00EE61FB">
            <w:pPr>
              <w:rPr>
                <w:rFonts w:ascii="Corbel" w:hAnsi="Corbel"/>
                <w:b/>
                <w:color w:val="FFFFFF" w:themeColor="background1"/>
                <w:sz w:val="20"/>
              </w:rPr>
            </w:pPr>
          </w:p>
        </w:tc>
      </w:tr>
      <w:tr w:rsidR="008E2A03" w:rsidTr="00EE61FB">
        <w:tc>
          <w:tcPr>
            <w:tcW w:w="10632" w:type="dxa"/>
            <w:gridSpan w:val="3"/>
            <w:shd w:val="clear" w:color="auto" w:fill="CCC0D9" w:themeFill="accent4" w:themeFillTint="66"/>
            <w:vAlign w:val="center"/>
          </w:tcPr>
          <w:p w:rsidR="008E2A03" w:rsidRPr="00C74B80" w:rsidRDefault="008E2A03" w:rsidP="00EE61FB">
            <w:pPr>
              <w:rPr>
                <w:rFonts w:ascii="Corbel" w:hAnsi="Corbel"/>
                <w:b/>
                <w:sz w:val="20"/>
              </w:rPr>
            </w:pPr>
            <w:r w:rsidRPr="00C74B80">
              <w:rPr>
                <w:b/>
                <w:sz w:val="20"/>
              </w:rPr>
              <w:t>Structure du programme</w:t>
            </w:r>
          </w:p>
        </w:tc>
      </w:tr>
      <w:tr w:rsidR="008E2A03" w:rsidTr="000056F0">
        <w:trPr>
          <w:trHeight w:val="764"/>
        </w:trPr>
        <w:tc>
          <w:tcPr>
            <w:tcW w:w="5246" w:type="dxa"/>
            <w:gridSpan w:val="2"/>
            <w:vAlign w:val="center"/>
          </w:tcPr>
          <w:p w:rsidR="008E2A03" w:rsidRPr="009A395D" w:rsidRDefault="008E2A03" w:rsidP="00EE61FB">
            <w:pPr>
              <w:rPr>
                <w:sz w:val="20"/>
              </w:rPr>
            </w:pPr>
            <w:r w:rsidRPr="009A395D">
              <w:rPr>
                <w:sz w:val="20"/>
              </w:rPr>
              <w:t>Les 6 trimestres des 3 premières années auront un maximum de 20 crédits chacun, sans compter les stages</w:t>
            </w:r>
          </w:p>
        </w:tc>
        <w:tc>
          <w:tcPr>
            <w:tcW w:w="5386" w:type="dxa"/>
            <w:vAlign w:val="center"/>
          </w:tcPr>
          <w:p w:rsidR="008E2A03" w:rsidRPr="00384FA1" w:rsidRDefault="00F60AD0" w:rsidP="000056F0">
            <w:pPr>
              <w:rPr>
                <w:rFonts w:ascii="Corbel" w:hAnsi="Corbel"/>
                <w:sz w:val="20"/>
              </w:rPr>
            </w:pPr>
            <w:r>
              <w:rPr>
                <w:rFonts w:ascii="Corbel" w:hAnsi="Corbel"/>
                <w:sz w:val="20"/>
              </w:rPr>
              <w:t xml:space="preserve">Le programme est de type « entrée continue ». </w:t>
            </w:r>
          </w:p>
        </w:tc>
      </w:tr>
      <w:tr w:rsidR="00FD5B27" w:rsidTr="00FD5B27">
        <w:trPr>
          <w:trHeight w:val="707"/>
        </w:trPr>
        <w:tc>
          <w:tcPr>
            <w:tcW w:w="5246" w:type="dxa"/>
            <w:gridSpan w:val="2"/>
            <w:vAlign w:val="center"/>
          </w:tcPr>
          <w:p w:rsidR="00FD5B27" w:rsidRPr="009A395D" w:rsidRDefault="00FD5B27" w:rsidP="00EE61FB">
            <w:pPr>
              <w:pStyle w:val="Retrait1"/>
              <w:numPr>
                <w:ilvl w:val="0"/>
                <w:numId w:val="0"/>
              </w:numPr>
              <w:jc w:val="left"/>
              <w:rPr>
                <w:rFonts w:asciiTheme="majorHAnsi" w:hAnsiTheme="majorHAnsi"/>
                <w:sz w:val="20"/>
              </w:rPr>
            </w:pPr>
          </w:p>
        </w:tc>
        <w:tc>
          <w:tcPr>
            <w:tcW w:w="5386" w:type="dxa"/>
            <w:vAlign w:val="center"/>
          </w:tcPr>
          <w:p w:rsidR="00FD5B27" w:rsidRDefault="00FD5B27" w:rsidP="00EE61FB">
            <w:pPr>
              <w:rPr>
                <w:rFonts w:ascii="Corbel" w:hAnsi="Corbel"/>
                <w:sz w:val="20"/>
              </w:rPr>
            </w:pPr>
            <w:r>
              <w:rPr>
                <w:rFonts w:ascii="Corbel" w:hAnsi="Corbel"/>
                <w:sz w:val="20"/>
              </w:rPr>
              <w:t>En général, les cours seront équivalents à 1 ou 2 crédits, la préférence allant à des cours de 1 crédit.</w:t>
            </w:r>
          </w:p>
        </w:tc>
      </w:tr>
      <w:tr w:rsidR="00447E1F" w:rsidTr="000056F0">
        <w:trPr>
          <w:trHeight w:val="1255"/>
        </w:trPr>
        <w:tc>
          <w:tcPr>
            <w:tcW w:w="5246" w:type="dxa"/>
            <w:gridSpan w:val="2"/>
            <w:vAlign w:val="center"/>
          </w:tcPr>
          <w:p w:rsidR="00447E1F" w:rsidRPr="009A395D" w:rsidRDefault="00447E1F" w:rsidP="00EE61FB">
            <w:pPr>
              <w:pStyle w:val="Retrait1"/>
              <w:numPr>
                <w:ilvl w:val="0"/>
                <w:numId w:val="0"/>
              </w:numPr>
              <w:jc w:val="left"/>
              <w:rPr>
                <w:rFonts w:asciiTheme="majorHAnsi" w:hAnsiTheme="majorHAnsi"/>
                <w:sz w:val="20"/>
              </w:rPr>
            </w:pPr>
          </w:p>
        </w:tc>
        <w:tc>
          <w:tcPr>
            <w:tcW w:w="5386" w:type="dxa"/>
            <w:vAlign w:val="center"/>
          </w:tcPr>
          <w:p w:rsidR="00447E1F" w:rsidRPr="009A395D" w:rsidRDefault="00447E1F" w:rsidP="000056F0">
            <w:pPr>
              <w:rPr>
                <w:sz w:val="20"/>
              </w:rPr>
            </w:pPr>
            <w:r>
              <w:rPr>
                <w:sz w:val="20"/>
              </w:rPr>
              <w:t xml:space="preserve">Par trimestre, on pourrait offrir 2 ou 3 sessions d’examen </w:t>
            </w:r>
            <w:r w:rsidR="004C72D9">
              <w:rPr>
                <w:sz w:val="20"/>
              </w:rPr>
              <w:t xml:space="preserve">dont les dates </w:t>
            </w:r>
            <w:r w:rsidR="000056F0">
              <w:rPr>
                <w:sz w:val="20"/>
              </w:rPr>
              <w:t>et les lieux sont prédéterminé</w:t>
            </w:r>
            <w:r w:rsidR="004C72D9">
              <w:rPr>
                <w:sz w:val="20"/>
              </w:rPr>
              <w:t xml:space="preserve">s. Les </w:t>
            </w:r>
            <w:r w:rsidR="000056F0">
              <w:rPr>
                <w:sz w:val="20"/>
              </w:rPr>
              <w:t xml:space="preserve"> étudiants doivent s’inscrire  à l’avance pour un lieu donné, une date donnée et pour un ou plusieurs cours donnés.</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Le cheminement de chaque étudiant doit respecter les préalables établis.</w:t>
            </w:r>
          </w:p>
        </w:tc>
        <w:tc>
          <w:tcPr>
            <w:tcW w:w="5386" w:type="dxa"/>
            <w:vAlign w:val="center"/>
          </w:tcPr>
          <w:p w:rsidR="008E2A03" w:rsidRPr="00384FA1" w:rsidRDefault="00447E1F" w:rsidP="00EE61FB">
            <w:pPr>
              <w:rPr>
                <w:rFonts w:ascii="Corbel" w:hAnsi="Corbel"/>
                <w:sz w:val="20"/>
              </w:rPr>
            </w:pPr>
            <w:r w:rsidRPr="009A395D">
              <w:rPr>
                <w:sz w:val="20"/>
              </w:rPr>
              <w:t>Le cheminement de chaque étudiant doit respecter les préalables établis.</w:t>
            </w:r>
          </w:p>
        </w:tc>
      </w:tr>
      <w:tr w:rsidR="008E2A03" w:rsidTr="00EE61FB">
        <w:tc>
          <w:tcPr>
            <w:tcW w:w="10632" w:type="dxa"/>
            <w:gridSpan w:val="3"/>
            <w:shd w:val="clear" w:color="auto" w:fill="CCC0D9" w:themeFill="accent4" w:themeFillTint="66"/>
            <w:vAlign w:val="center"/>
          </w:tcPr>
          <w:p w:rsidR="008E2A03" w:rsidRPr="00C74B80" w:rsidRDefault="008E2A03" w:rsidP="00EE61FB">
            <w:pPr>
              <w:rPr>
                <w:rFonts w:ascii="Corbel" w:hAnsi="Corbel"/>
                <w:b/>
                <w:sz w:val="20"/>
              </w:rPr>
            </w:pPr>
            <w:r w:rsidRPr="00C74B80">
              <w:rPr>
                <w:b/>
                <w:sz w:val="20"/>
              </w:rPr>
              <w:t>Conditions d’admission</w:t>
            </w:r>
          </w:p>
        </w:tc>
      </w:tr>
      <w:tr w:rsidR="008E2A03" w:rsidTr="000056F0">
        <w:trPr>
          <w:trHeight w:val="705"/>
        </w:trPr>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 xml:space="preserve">Pour être admissible, l’étudiant doit détenir les préalables nécessaires. </w:t>
            </w:r>
          </w:p>
        </w:tc>
        <w:tc>
          <w:tcPr>
            <w:tcW w:w="5386" w:type="dxa"/>
            <w:vAlign w:val="center"/>
          </w:tcPr>
          <w:p w:rsidR="008E2A03" w:rsidRPr="00384FA1" w:rsidRDefault="000056F0" w:rsidP="002F7E2F">
            <w:pPr>
              <w:rPr>
                <w:rFonts w:ascii="Corbel" w:hAnsi="Corbel"/>
                <w:sz w:val="20"/>
              </w:rPr>
            </w:pPr>
            <w:r>
              <w:rPr>
                <w:rFonts w:ascii="Corbel" w:hAnsi="Corbel"/>
                <w:sz w:val="20"/>
              </w:rPr>
              <w:t>Pour être admissible, l’étudiant doit détenir un  baccalauréat en pharmacie d’une université canadienne</w:t>
            </w:r>
            <w:r w:rsidR="002F7E2F">
              <w:rPr>
                <w:rFonts w:ascii="Corbel" w:hAnsi="Corbel"/>
                <w:sz w:val="20"/>
              </w:rPr>
              <w:t>.</w:t>
            </w:r>
          </w:p>
        </w:tc>
      </w:tr>
      <w:tr w:rsidR="008E2A03" w:rsidTr="003965DB">
        <w:trPr>
          <w:trHeight w:val="1239"/>
        </w:trPr>
        <w:tc>
          <w:tcPr>
            <w:tcW w:w="5246" w:type="dxa"/>
            <w:gridSpan w:val="2"/>
            <w:vAlign w:val="center"/>
          </w:tcPr>
          <w:p w:rsidR="008E2A03" w:rsidRPr="009A395D" w:rsidRDefault="008E2A03" w:rsidP="00EE61FB">
            <w:pPr>
              <w:rPr>
                <w:sz w:val="20"/>
              </w:rPr>
            </w:pPr>
            <w:r w:rsidRPr="009A395D">
              <w:rPr>
                <w:sz w:val="20"/>
              </w:rPr>
              <w:t>Les critères d’admission doivent inclure des dimensions autres que la performance académique</w:t>
            </w:r>
          </w:p>
        </w:tc>
        <w:tc>
          <w:tcPr>
            <w:tcW w:w="5386" w:type="dxa"/>
            <w:vAlign w:val="center"/>
          </w:tcPr>
          <w:p w:rsidR="008E2A03" w:rsidRPr="00384FA1" w:rsidRDefault="008E2A03" w:rsidP="003965DB">
            <w:pPr>
              <w:rPr>
                <w:rFonts w:ascii="Corbel" w:hAnsi="Corbel"/>
                <w:sz w:val="20"/>
              </w:rPr>
            </w:pPr>
            <w:r>
              <w:rPr>
                <w:rFonts w:ascii="Corbel" w:hAnsi="Corbel"/>
                <w:sz w:val="20"/>
              </w:rPr>
              <w:t xml:space="preserve">Le portefolio sera une composante </w:t>
            </w:r>
            <w:r w:rsidR="003965DB">
              <w:rPr>
                <w:rFonts w:ascii="Corbel" w:hAnsi="Corbel"/>
                <w:sz w:val="20"/>
              </w:rPr>
              <w:t>obligatoire</w:t>
            </w:r>
            <w:r>
              <w:rPr>
                <w:rFonts w:ascii="Corbel" w:hAnsi="Corbel"/>
                <w:sz w:val="20"/>
              </w:rPr>
              <w:t xml:space="preserve"> du dossier d’admissio</w:t>
            </w:r>
            <w:r w:rsidR="004D16D8">
              <w:rPr>
                <w:rFonts w:ascii="Corbel" w:hAnsi="Corbel"/>
                <w:sz w:val="20"/>
              </w:rPr>
              <w:t>n. Les réalisations académiques</w:t>
            </w:r>
            <w:r>
              <w:rPr>
                <w:rFonts w:ascii="Corbel" w:hAnsi="Corbel"/>
                <w:sz w:val="20"/>
              </w:rPr>
              <w:t xml:space="preserve">, professionnelles et de formation continue, et leur séquence dans le temps depuis la graduation devront être </w:t>
            </w:r>
            <w:r w:rsidR="00897B67">
              <w:rPr>
                <w:rFonts w:ascii="Corbel" w:hAnsi="Corbel"/>
                <w:sz w:val="20"/>
              </w:rPr>
              <w:t>pris en compte</w:t>
            </w:r>
            <w:r w:rsidR="004D16D8">
              <w:rPr>
                <w:rFonts w:ascii="Corbel" w:hAnsi="Corbel"/>
                <w:sz w:val="20"/>
              </w:rPr>
              <w:t>.</w:t>
            </w:r>
          </w:p>
        </w:tc>
      </w:tr>
      <w:tr w:rsidR="00897B67" w:rsidTr="00B15A88">
        <w:trPr>
          <w:trHeight w:val="1258"/>
        </w:trPr>
        <w:tc>
          <w:tcPr>
            <w:tcW w:w="5246" w:type="dxa"/>
            <w:gridSpan w:val="2"/>
            <w:vAlign w:val="center"/>
          </w:tcPr>
          <w:p w:rsidR="00897B67" w:rsidRPr="009A395D" w:rsidRDefault="00897B67" w:rsidP="00EE61FB">
            <w:pPr>
              <w:pStyle w:val="Retrait1"/>
              <w:numPr>
                <w:ilvl w:val="0"/>
                <w:numId w:val="0"/>
              </w:numPr>
              <w:jc w:val="left"/>
              <w:rPr>
                <w:rFonts w:asciiTheme="majorHAnsi" w:hAnsiTheme="majorHAnsi"/>
                <w:sz w:val="20"/>
              </w:rPr>
            </w:pPr>
          </w:p>
        </w:tc>
        <w:tc>
          <w:tcPr>
            <w:tcW w:w="5386" w:type="dxa"/>
            <w:vAlign w:val="center"/>
          </w:tcPr>
          <w:p w:rsidR="00897B67" w:rsidRDefault="00897B67" w:rsidP="003965DB">
            <w:pPr>
              <w:rPr>
                <w:rFonts w:ascii="Corbel" w:hAnsi="Corbel"/>
                <w:sz w:val="20"/>
              </w:rPr>
            </w:pPr>
            <w:r>
              <w:rPr>
                <w:rFonts w:ascii="Corbel" w:hAnsi="Corbel"/>
                <w:sz w:val="20"/>
              </w:rPr>
              <w:t>Un examen d’admission sera proposé aux ét</w:t>
            </w:r>
            <w:r w:rsidR="003965DB">
              <w:rPr>
                <w:rFonts w:ascii="Corbel" w:hAnsi="Corbel"/>
                <w:sz w:val="20"/>
              </w:rPr>
              <w:t>udiants qui font une demande d’exemption</w:t>
            </w:r>
            <w:r>
              <w:rPr>
                <w:rFonts w:ascii="Corbel" w:hAnsi="Corbel"/>
                <w:sz w:val="20"/>
              </w:rPr>
              <w:t>.</w:t>
            </w:r>
            <w:r w:rsidR="002F7E2F">
              <w:rPr>
                <w:rFonts w:ascii="Corbel" w:hAnsi="Corbel"/>
                <w:sz w:val="20"/>
              </w:rPr>
              <w:t xml:space="preserve"> L’examen sera constitué en fonction des équivalences demandées.</w:t>
            </w:r>
            <w:r w:rsidR="00B15A88">
              <w:rPr>
                <w:rFonts w:ascii="Corbel" w:hAnsi="Corbel"/>
                <w:sz w:val="20"/>
              </w:rPr>
              <w:t xml:space="preserve"> Le nombre de crédits exemptés  ne peut excéder 50% du nombre total de crédits.</w:t>
            </w:r>
          </w:p>
        </w:tc>
      </w:tr>
      <w:tr w:rsidR="002F7E2F" w:rsidTr="002F7E2F">
        <w:trPr>
          <w:trHeight w:val="856"/>
        </w:trPr>
        <w:tc>
          <w:tcPr>
            <w:tcW w:w="5246" w:type="dxa"/>
            <w:gridSpan w:val="2"/>
            <w:vAlign w:val="center"/>
          </w:tcPr>
          <w:p w:rsidR="002F7E2F" w:rsidRPr="009A395D" w:rsidRDefault="002F7E2F" w:rsidP="00EE61FB">
            <w:pPr>
              <w:pStyle w:val="Retrait1"/>
              <w:numPr>
                <w:ilvl w:val="0"/>
                <w:numId w:val="0"/>
              </w:numPr>
              <w:jc w:val="left"/>
              <w:rPr>
                <w:rFonts w:asciiTheme="majorHAnsi" w:hAnsiTheme="majorHAnsi"/>
                <w:sz w:val="20"/>
              </w:rPr>
            </w:pPr>
          </w:p>
        </w:tc>
        <w:tc>
          <w:tcPr>
            <w:tcW w:w="5386" w:type="dxa"/>
            <w:vAlign w:val="center"/>
          </w:tcPr>
          <w:p w:rsidR="002F7E2F" w:rsidRDefault="002F7E2F" w:rsidP="00EE61FB">
            <w:pPr>
              <w:rPr>
                <w:rFonts w:ascii="Corbel" w:hAnsi="Corbel"/>
                <w:sz w:val="20"/>
              </w:rPr>
            </w:pPr>
            <w:r>
              <w:rPr>
                <w:rFonts w:ascii="Corbel" w:hAnsi="Corbel"/>
                <w:sz w:val="20"/>
              </w:rPr>
              <w:t>L’examen d’admission et l’évaluation certificative pourraient être le même test</w:t>
            </w:r>
            <w:r w:rsidR="009A578D">
              <w:rPr>
                <w:rStyle w:val="Appelnotedebasdep"/>
                <w:rFonts w:ascii="Corbel" w:hAnsi="Corbel"/>
                <w:sz w:val="20"/>
              </w:rPr>
              <w:footnoteReference w:id="1"/>
            </w:r>
            <w:r w:rsidR="00484FEC">
              <w:rPr>
                <w:rFonts w:ascii="Corbel" w:hAnsi="Corbel"/>
                <w:sz w:val="20"/>
              </w:rPr>
              <w:t>, offert dans un même lieu.</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L’étudiant doit avoir une connaissance fonctionnelle du français.</w:t>
            </w:r>
          </w:p>
        </w:tc>
        <w:tc>
          <w:tcPr>
            <w:tcW w:w="5386" w:type="dxa"/>
            <w:vAlign w:val="center"/>
          </w:tcPr>
          <w:p w:rsidR="008E2A03" w:rsidRPr="00384FA1" w:rsidRDefault="00484FEC" w:rsidP="00EE61FB">
            <w:pPr>
              <w:rPr>
                <w:rFonts w:ascii="Corbel" w:hAnsi="Corbel"/>
                <w:sz w:val="20"/>
              </w:rPr>
            </w:pPr>
            <w:r w:rsidRPr="009A395D">
              <w:rPr>
                <w:sz w:val="20"/>
              </w:rPr>
              <w:t>L’étudiant doit avoir une connaissance fonctionnelle du français.</w:t>
            </w:r>
          </w:p>
        </w:tc>
      </w:tr>
      <w:tr w:rsidR="008E2A03" w:rsidTr="00484FEC">
        <w:trPr>
          <w:trHeight w:val="929"/>
        </w:trPr>
        <w:tc>
          <w:tcPr>
            <w:tcW w:w="5246" w:type="dxa"/>
            <w:gridSpan w:val="2"/>
            <w:vAlign w:val="center"/>
          </w:tcPr>
          <w:p w:rsidR="008E2A03" w:rsidRPr="009A395D" w:rsidRDefault="008E2A03" w:rsidP="00EE61FB">
            <w:pPr>
              <w:rPr>
                <w:sz w:val="20"/>
              </w:rPr>
            </w:pPr>
            <w:r w:rsidRPr="009A395D">
              <w:rPr>
                <w:sz w:val="20"/>
              </w:rPr>
              <w:t>Chaque étudiant est réputé avoir une connaissance suffisante de la langue anglaise, permettant une compréhension adéquate lors d’activités de lecture</w:t>
            </w:r>
          </w:p>
        </w:tc>
        <w:tc>
          <w:tcPr>
            <w:tcW w:w="5386" w:type="dxa"/>
            <w:vAlign w:val="center"/>
          </w:tcPr>
          <w:p w:rsidR="008E2A03" w:rsidRPr="00384FA1" w:rsidRDefault="00484FEC" w:rsidP="00EE61FB">
            <w:pPr>
              <w:rPr>
                <w:rFonts w:ascii="Corbel" w:hAnsi="Corbel"/>
                <w:sz w:val="20"/>
              </w:rPr>
            </w:pPr>
            <w:r w:rsidRPr="009A395D">
              <w:rPr>
                <w:sz w:val="20"/>
              </w:rPr>
              <w:t>Chaque étudiant est réputé avoir une connaissance suffisante de la langue anglaise, permettant une compréhension adéquate lors d’activités de lecture</w:t>
            </w:r>
            <w:r>
              <w:rPr>
                <w:sz w:val="20"/>
              </w:rPr>
              <w:t>.</w:t>
            </w:r>
          </w:p>
        </w:tc>
      </w:tr>
      <w:tr w:rsidR="008E2A03" w:rsidTr="00EE61FB">
        <w:tc>
          <w:tcPr>
            <w:tcW w:w="10632" w:type="dxa"/>
            <w:gridSpan w:val="3"/>
            <w:shd w:val="clear" w:color="auto" w:fill="CCC0D9" w:themeFill="accent4" w:themeFillTint="66"/>
            <w:vAlign w:val="center"/>
          </w:tcPr>
          <w:p w:rsidR="008E2A03" w:rsidRPr="00C74B80" w:rsidRDefault="008E2A03" w:rsidP="00EE61FB">
            <w:pPr>
              <w:rPr>
                <w:rFonts w:ascii="Corbel" w:hAnsi="Corbel"/>
                <w:b/>
                <w:sz w:val="20"/>
              </w:rPr>
            </w:pPr>
            <w:r>
              <w:rPr>
                <w:rFonts w:ascii="Corbel" w:hAnsi="Corbel"/>
                <w:b/>
                <w:sz w:val="20"/>
              </w:rPr>
              <w:t>Normes de succès</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On utilisera la promotion par année académique.</w:t>
            </w:r>
          </w:p>
        </w:tc>
        <w:tc>
          <w:tcPr>
            <w:tcW w:w="5386" w:type="dxa"/>
            <w:vAlign w:val="center"/>
          </w:tcPr>
          <w:p w:rsidR="008E2A03" w:rsidRPr="00384FA1" w:rsidRDefault="00484FEC" w:rsidP="00EE61FB">
            <w:pPr>
              <w:rPr>
                <w:rFonts w:ascii="Corbel" w:hAnsi="Corbel"/>
                <w:sz w:val="20"/>
              </w:rPr>
            </w:pPr>
            <w:r>
              <w:rPr>
                <w:rFonts w:ascii="Corbel" w:hAnsi="Corbel"/>
                <w:sz w:val="20"/>
              </w:rPr>
              <w:t>On utilisera la promotion par cours.</w:t>
            </w:r>
          </w:p>
        </w:tc>
      </w:tr>
      <w:tr w:rsidR="008E2A03" w:rsidTr="00EE61FB">
        <w:tc>
          <w:tcPr>
            <w:tcW w:w="5246" w:type="dxa"/>
            <w:gridSpan w:val="2"/>
            <w:vAlign w:val="center"/>
          </w:tcPr>
          <w:p w:rsidR="008E2A03" w:rsidRPr="009A395D" w:rsidRDefault="008E2A03" w:rsidP="00EE61FB">
            <w:pPr>
              <w:pStyle w:val="Retrait1"/>
              <w:numPr>
                <w:ilvl w:val="0"/>
                <w:numId w:val="0"/>
              </w:numPr>
              <w:jc w:val="left"/>
              <w:rPr>
                <w:rFonts w:asciiTheme="majorHAnsi" w:hAnsiTheme="majorHAnsi"/>
                <w:sz w:val="20"/>
              </w:rPr>
            </w:pPr>
            <w:r w:rsidRPr="009A395D">
              <w:rPr>
                <w:rFonts w:asciiTheme="majorHAnsi" w:hAnsiTheme="majorHAnsi"/>
                <w:sz w:val="20"/>
              </w:rPr>
              <w:t>Une moyenne annuelle de 2.0 est nécessaire ainsi qu’une note minimale de 1.0 dans chaque cours.</w:t>
            </w:r>
          </w:p>
        </w:tc>
        <w:tc>
          <w:tcPr>
            <w:tcW w:w="5386" w:type="dxa"/>
            <w:vAlign w:val="center"/>
          </w:tcPr>
          <w:p w:rsidR="008E2A03" w:rsidRPr="00384FA1" w:rsidRDefault="008E2A03" w:rsidP="00484FEC">
            <w:pPr>
              <w:rPr>
                <w:rFonts w:ascii="Corbel" w:hAnsi="Corbel"/>
                <w:sz w:val="20"/>
              </w:rPr>
            </w:pPr>
            <w:r>
              <w:rPr>
                <w:rFonts w:ascii="Corbel" w:hAnsi="Corbel"/>
                <w:sz w:val="20"/>
              </w:rPr>
              <w:t xml:space="preserve"> </w:t>
            </w:r>
            <w:r w:rsidR="00484FEC">
              <w:rPr>
                <w:rFonts w:ascii="Corbel" w:hAnsi="Corbel"/>
                <w:sz w:val="20"/>
              </w:rPr>
              <w:t>NSP</w:t>
            </w:r>
          </w:p>
        </w:tc>
      </w:tr>
      <w:tr w:rsidR="008E2A03" w:rsidTr="00484FEC">
        <w:trPr>
          <w:trHeight w:val="1345"/>
        </w:trPr>
        <w:tc>
          <w:tcPr>
            <w:tcW w:w="5246" w:type="dxa"/>
            <w:gridSpan w:val="2"/>
            <w:vAlign w:val="center"/>
          </w:tcPr>
          <w:p w:rsidR="008E2A03" w:rsidRPr="009A395D" w:rsidRDefault="008E2A03" w:rsidP="00EE61FB">
            <w:pPr>
              <w:rPr>
                <w:sz w:val="20"/>
              </w:rPr>
            </w:pPr>
            <w:r w:rsidRPr="009A395D">
              <w:rPr>
                <w:iCs/>
                <w:sz w:val="20"/>
              </w:rPr>
              <w:t>Au terme du programme, toutes les compétences d’un étudiant doivent être développées au niveau attendu, y compris les compétences transversales. Le niveau attendu (final) pour chaque compétence sera défini au moyen de critères de performance</w:t>
            </w:r>
          </w:p>
        </w:tc>
        <w:tc>
          <w:tcPr>
            <w:tcW w:w="5386" w:type="dxa"/>
            <w:vAlign w:val="center"/>
          </w:tcPr>
          <w:p w:rsidR="008E2A03" w:rsidRPr="00384FA1" w:rsidRDefault="00484FEC" w:rsidP="00EE61FB">
            <w:pPr>
              <w:rPr>
                <w:rFonts w:ascii="Corbel" w:hAnsi="Corbel"/>
                <w:sz w:val="20"/>
              </w:rPr>
            </w:pPr>
            <w:r>
              <w:rPr>
                <w:rFonts w:ascii="Corbel" w:hAnsi="Corbel"/>
                <w:sz w:val="20"/>
              </w:rPr>
              <w:t>NSP</w:t>
            </w:r>
          </w:p>
        </w:tc>
      </w:tr>
      <w:tr w:rsidR="00524F98" w:rsidTr="004D46E3">
        <w:tc>
          <w:tcPr>
            <w:tcW w:w="10632" w:type="dxa"/>
            <w:gridSpan w:val="3"/>
            <w:shd w:val="clear" w:color="auto" w:fill="CCC0D9" w:themeFill="accent4" w:themeFillTint="66"/>
            <w:vAlign w:val="center"/>
          </w:tcPr>
          <w:p w:rsidR="00524F98" w:rsidRPr="00C74B80" w:rsidRDefault="00524F98" w:rsidP="004D46E3">
            <w:pPr>
              <w:rPr>
                <w:rFonts w:ascii="Corbel" w:hAnsi="Corbel"/>
                <w:b/>
                <w:sz w:val="20"/>
              </w:rPr>
            </w:pPr>
            <w:r>
              <w:rPr>
                <w:rFonts w:ascii="Corbel" w:hAnsi="Corbel"/>
                <w:b/>
                <w:sz w:val="20"/>
              </w:rPr>
              <w:t>Encadrement des étudiants</w:t>
            </w:r>
            <w:bookmarkStart w:id="0" w:name="_GoBack"/>
            <w:bookmarkEnd w:id="0"/>
          </w:p>
        </w:tc>
      </w:tr>
      <w:tr w:rsidR="00524F98" w:rsidTr="00524F98">
        <w:trPr>
          <w:trHeight w:val="717"/>
        </w:trPr>
        <w:tc>
          <w:tcPr>
            <w:tcW w:w="5246" w:type="dxa"/>
            <w:gridSpan w:val="2"/>
            <w:vAlign w:val="center"/>
          </w:tcPr>
          <w:p w:rsidR="00524F98" w:rsidRPr="009A395D" w:rsidRDefault="00524F98" w:rsidP="004D46E3">
            <w:pPr>
              <w:pStyle w:val="Retrait1"/>
              <w:numPr>
                <w:ilvl w:val="0"/>
                <w:numId w:val="0"/>
              </w:numPr>
              <w:jc w:val="left"/>
              <w:rPr>
                <w:rFonts w:asciiTheme="majorHAnsi" w:hAnsiTheme="majorHAnsi"/>
                <w:sz w:val="20"/>
              </w:rPr>
            </w:pPr>
          </w:p>
        </w:tc>
        <w:tc>
          <w:tcPr>
            <w:tcW w:w="5386" w:type="dxa"/>
            <w:vAlign w:val="center"/>
          </w:tcPr>
          <w:p w:rsidR="00524F98" w:rsidRPr="00384FA1" w:rsidRDefault="00524F98" w:rsidP="004D46E3">
            <w:pPr>
              <w:rPr>
                <w:rFonts w:ascii="Corbel" w:hAnsi="Corbel"/>
                <w:sz w:val="20"/>
              </w:rPr>
            </w:pPr>
            <w:r>
              <w:rPr>
                <w:rFonts w:ascii="Corbel" w:hAnsi="Corbel"/>
                <w:sz w:val="20"/>
              </w:rPr>
              <w:t xml:space="preserve">Un tuteur est associé à chaque cours; ainsi chaque étudiant sera accompagné par un tuteur pour la durée de son cours. </w:t>
            </w:r>
          </w:p>
        </w:tc>
      </w:tr>
      <w:tr w:rsidR="00524F98" w:rsidTr="00524F98">
        <w:trPr>
          <w:trHeight w:val="712"/>
        </w:trPr>
        <w:tc>
          <w:tcPr>
            <w:tcW w:w="5246" w:type="dxa"/>
            <w:gridSpan w:val="2"/>
            <w:vAlign w:val="center"/>
          </w:tcPr>
          <w:p w:rsidR="00524F98" w:rsidRPr="009A395D" w:rsidRDefault="00524F98" w:rsidP="004D46E3">
            <w:pPr>
              <w:pStyle w:val="Retrait1"/>
              <w:numPr>
                <w:ilvl w:val="0"/>
                <w:numId w:val="0"/>
              </w:numPr>
              <w:jc w:val="left"/>
              <w:rPr>
                <w:rFonts w:asciiTheme="majorHAnsi" w:hAnsiTheme="majorHAnsi"/>
                <w:sz w:val="20"/>
              </w:rPr>
            </w:pPr>
          </w:p>
        </w:tc>
        <w:tc>
          <w:tcPr>
            <w:tcW w:w="5386" w:type="dxa"/>
            <w:vAlign w:val="center"/>
          </w:tcPr>
          <w:p w:rsidR="00524F98" w:rsidRPr="00384FA1" w:rsidRDefault="00524F98" w:rsidP="004D46E3">
            <w:pPr>
              <w:rPr>
                <w:rFonts w:ascii="Corbel" w:hAnsi="Corbel"/>
                <w:sz w:val="20"/>
              </w:rPr>
            </w:pPr>
          </w:p>
        </w:tc>
      </w:tr>
      <w:tr w:rsidR="00524F98" w:rsidTr="00524F98">
        <w:trPr>
          <w:trHeight w:val="680"/>
        </w:trPr>
        <w:tc>
          <w:tcPr>
            <w:tcW w:w="5246" w:type="dxa"/>
            <w:gridSpan w:val="2"/>
            <w:vAlign w:val="center"/>
          </w:tcPr>
          <w:p w:rsidR="00524F98" w:rsidRPr="009A395D" w:rsidRDefault="00524F98" w:rsidP="004D46E3">
            <w:pPr>
              <w:rPr>
                <w:sz w:val="20"/>
              </w:rPr>
            </w:pPr>
          </w:p>
        </w:tc>
        <w:tc>
          <w:tcPr>
            <w:tcW w:w="5386" w:type="dxa"/>
            <w:vAlign w:val="center"/>
          </w:tcPr>
          <w:p w:rsidR="00524F98" w:rsidRPr="00384FA1" w:rsidRDefault="00524F98" w:rsidP="004D46E3">
            <w:pPr>
              <w:rPr>
                <w:rFonts w:ascii="Corbel" w:hAnsi="Corbel"/>
                <w:sz w:val="20"/>
              </w:rPr>
            </w:pPr>
          </w:p>
        </w:tc>
      </w:tr>
    </w:tbl>
    <w:p w:rsidR="0039246B" w:rsidRDefault="0039246B"/>
    <w:sectPr w:rsidR="0039246B" w:rsidSect="00636628">
      <w:headerReference w:type="even" r:id="rId7"/>
      <w:headerReference w:type="default" r:id="rId8"/>
      <w:headerReference w:type="first" r:id="rId9"/>
      <w:pgSz w:w="12240" w:h="15840"/>
      <w:pgMar w:top="709" w:right="474" w:bottom="709"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AE1" w:rsidRDefault="003F5AE1">
      <w:r>
        <w:separator/>
      </w:r>
    </w:p>
  </w:endnote>
  <w:endnote w:type="continuationSeparator" w:id="0">
    <w:p w:rsidR="003F5AE1" w:rsidRDefault="003F5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orbel">
    <w:panose1 w:val="020B0503020204020204"/>
    <w:charset w:val="00"/>
    <w:family w:val="swiss"/>
    <w:pitch w:val="variable"/>
    <w:sig w:usb0="A00002EF" w:usb1="4000204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AE1" w:rsidRDefault="003F5AE1">
      <w:r>
        <w:separator/>
      </w:r>
    </w:p>
  </w:footnote>
  <w:footnote w:type="continuationSeparator" w:id="0">
    <w:p w:rsidR="003F5AE1" w:rsidRDefault="003F5AE1">
      <w:r>
        <w:continuationSeparator/>
      </w:r>
    </w:p>
  </w:footnote>
  <w:footnote w:id="1">
    <w:p w:rsidR="003965DB" w:rsidRPr="009A578D" w:rsidRDefault="003965DB">
      <w:pPr>
        <w:pStyle w:val="Notedebasdepage"/>
        <w:rPr>
          <w:lang w:val="fr-FR"/>
        </w:rPr>
      </w:pPr>
      <w:r>
        <w:rPr>
          <w:rStyle w:val="Appelnotedebasdep"/>
        </w:rPr>
        <w:footnoteRef/>
      </w:r>
      <w:r>
        <w:t xml:space="preserve"> </w:t>
      </w:r>
      <w:r>
        <w:rPr>
          <w:lang w:val="fr-FR"/>
        </w:rPr>
        <w:t>Dans une même session d’évaluation, on pourrait avoir deux étudiants qui font le même test, l’un pour demander une équivalence et l’autre pour obtenir ses crédits, à la fin de son cours.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DB" w:rsidRDefault="008F6F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41.25pt;height:128.25pt;rotation:315;z-index:-251654144;mso-wrap-edited:f;mso-position-horizontal:center;mso-position-horizontal-relative:margin;mso-position-vertical:center;mso-position-vertical-relative:margin" wrapcoords="21120 5305 20867 5431 20816 5557 20791 9094 19477 5052 18088 6315 17810 5557 17633 5305 17153 5052 16648 5431 16370 6189 16244 6568 15991 8210 15865 10231 14576 5557 14374 4926 14172 5557 14096 6821 14147 7452 13364 7705 12631 5305 12555 5305 12303 5431 12252 5557 12252 6568 11418 5305 11216 5305 11166 5557 11115 6694 10256 5305 10080 5305 10004 5557 9978 6694 9978 12252 8564 5305 8311 5305 8235 5557 8210 9094 6947 5305 6214 5052 5785 5684 5456 6568 5178 8336 4698 7073 4092 5557 3360 5305 2880 5431 2804 5684 2753 7452 2753 10484 1844 6063 1338 4421 1111 5305 429 5305 378 5810 328 7073 328 15789 555 16926 1212 16926 1692 16673 2071 15789 2248 14652 2273 13894 3183 16800 3233 16673 3233 13010 3486 14021 4522 17178 4572 16926 4749 16547 4724 15410 4446 13136 5557 16042 5684 16547 6290 17178 6846 16800 7225 16042 7528 14400 7680 12378 8235 14905 9069 17684 9246 17178 9726 16926 10105 16042 10307 14778 10383 14400 10585 15284 11368 17178 11545 16673 11570 16294 11595 14778 11722 15284 12530 17178 15435 16926 15688 16547 15688 15663 14652 9852 16446 16294 16597 16673 17153 17178 17684 16673 18088 15789 18366 14273 18669 15663 19326 17305 19477 16673 19503 11368 20210 14778 21018 17557 21221 16547 21246 16042 21271 5936 21120 5305" fillcolor="#c6d9f1" stroked="f">
          <v:fill opacity="54394f"/>
          <v:textpath style="font-family:&quot;Calibri&quot;;font-size:1pt" string="BROUILLON"/>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DB" w:rsidRDefault="008F6F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41.25pt;height:128.25pt;rotation:315;z-index:-251656192;mso-wrap-edited:f;mso-position-horizontal:center;mso-position-horizontal-relative:margin;mso-position-vertical:center;mso-position-vertical-relative:margin" wrapcoords="21120 5305 20867 5431 20816 5557 20791 9094 19477 5052 18088 6315 17810 5557 17633 5305 17153 5052 16648 5431 16370 6189 16244 6568 15991 8210 15865 10231 14576 5557 14374 4926 14172 5557 14096 6821 14147 7452 13364 7705 12631 5305 12555 5305 12303 5431 12252 5557 12252 6568 11418 5305 11216 5305 11166 5557 11115 6694 10256 5305 10080 5305 10004 5557 9978 6694 9978 12252 8564 5305 8311 5305 8235 5557 8210 9094 6947 5305 6214 5052 5785 5684 5456 6568 5178 8336 4698 7073 4092 5557 3360 5305 2880 5431 2804 5684 2753 7452 2753 10484 1844 6063 1338 4421 1111 5305 429 5305 378 5810 328 7073 328 15789 555 16926 1212 16926 1692 16673 2071 15789 2248 14652 2273 13894 3183 16800 3233 16673 3233 13010 3486 14021 4522 17178 4572 16926 4749 16547 4724 15410 4446 13136 5557 16042 5684 16547 6290 17178 6846 16800 7225 16042 7528 14400 7680 12378 8235 14905 9069 17684 9246 17178 9726 16926 10105 16042 10307 14778 10383 14400 10585 15284 11368 17178 11545 16673 11570 16294 11595 14778 11722 15284 12530 17178 15435 16926 15688 16547 15688 15663 14652 9852 16446 16294 16597 16673 17153 17178 17684 16673 18088 15789 18366 14273 18669 15663 19326 17305 19477 16673 19503 11368 20210 14778 21018 17557 21221 16547 21246 16042 21271 5936 21120 5305" fillcolor="#c6d9f1" stroked="f">
          <v:fill opacity="54394f"/>
          <v:textpath style="font-family:&quot;Calibri&quot;;font-size:1pt" string="BROUILLON"/>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DB" w:rsidRDefault="008F6FC2">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41.25pt;height:128.25pt;rotation:315;z-index:-251652096;mso-wrap-edited:f;mso-position-horizontal:center;mso-position-horizontal-relative:margin;mso-position-vertical:center;mso-position-vertical-relative:margin" wrapcoords="21120 5305 20867 5431 20816 5557 20791 9094 19477 5052 18088 6315 17810 5557 17633 5305 17153 5052 16648 5431 16370 6189 16244 6568 15991 8210 15865 10231 14576 5557 14374 4926 14172 5557 14096 6821 14147 7452 13364 7705 12631 5305 12555 5305 12303 5431 12252 5557 12252 6568 11418 5305 11216 5305 11166 5557 11115 6694 10256 5305 10080 5305 10004 5557 9978 6694 9978 12252 8564 5305 8311 5305 8235 5557 8210 9094 6947 5305 6214 5052 5785 5684 5456 6568 5178 8336 4698 7073 4092 5557 3360 5305 2880 5431 2804 5684 2753 7452 2753 10484 1844 6063 1338 4421 1111 5305 429 5305 378 5810 328 7073 328 15789 555 16926 1212 16926 1692 16673 2071 15789 2248 14652 2273 13894 3183 16800 3233 16673 3233 13010 3486 14021 4522 17178 4572 16926 4749 16547 4724 15410 4446 13136 5557 16042 5684 16547 6290 17178 6846 16800 7225 16042 7528 14400 7680 12378 8235 14905 9069 17684 9246 17178 9726 16926 10105 16042 10307 14778 10383 14400 10585 15284 11368 17178 11545 16673 11570 16294 11595 14778 11722 15284 12530 17178 15435 16926 15688 16547 15688 15663 14652 9852 16446 16294 16597 16673 17153 17178 17684 16673 18088 15789 18366 14273 18669 15663 19326 17305 19477 16673 19503 11368 20210 14778 21018 17557 21221 16547 21246 16042 21271 5936 21120 5305" fillcolor="#c6d9f1" stroked="f">
          <v:fill opacity="54394f"/>
          <v:textpath style="font-family:&quot;Calibri&quot;;font-size:1pt" string="BROUILLON"/>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3014"/>
    <w:multiLevelType w:val="hybridMultilevel"/>
    <w:tmpl w:val="33CCA580"/>
    <w:lvl w:ilvl="0" w:tplc="0C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A44642B"/>
    <w:multiLevelType w:val="hybridMultilevel"/>
    <w:tmpl w:val="3FFE6E08"/>
    <w:lvl w:ilvl="0" w:tplc="83200C12">
      <w:start w:val="1"/>
      <w:numFmt w:val="bullet"/>
      <w:pStyle w:val="Retrait1"/>
      <w:lvlText w:val=""/>
      <w:lvlJc w:val="left"/>
      <w:pPr>
        <w:tabs>
          <w:tab w:val="num" w:pos="360"/>
        </w:tabs>
        <w:ind w:left="360" w:hanging="360"/>
      </w:pPr>
      <w:rPr>
        <w:rFonts w:ascii="Wingdings 2" w:hAnsi="Wingdings 2" w:hint="default"/>
        <w:b/>
        <w:i w:val="0"/>
        <w:color w:val="339966"/>
        <w:sz w:val="16"/>
        <w:szCs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3074"/>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A3A6D"/>
    <w:rsid w:val="000056F0"/>
    <w:rsid w:val="00045D57"/>
    <w:rsid w:val="00096C8D"/>
    <w:rsid w:val="000A402E"/>
    <w:rsid w:val="001326E7"/>
    <w:rsid w:val="0014227E"/>
    <w:rsid w:val="001528A0"/>
    <w:rsid w:val="001A25BE"/>
    <w:rsid w:val="001B13FE"/>
    <w:rsid w:val="001D1FE6"/>
    <w:rsid w:val="001E50BA"/>
    <w:rsid w:val="002F7E2F"/>
    <w:rsid w:val="00384FA1"/>
    <w:rsid w:val="0039246B"/>
    <w:rsid w:val="003965DB"/>
    <w:rsid w:val="003F5AE1"/>
    <w:rsid w:val="00415BAD"/>
    <w:rsid w:val="00427602"/>
    <w:rsid w:val="00447E1F"/>
    <w:rsid w:val="00484FEC"/>
    <w:rsid w:val="00494DE1"/>
    <w:rsid w:val="004C72D9"/>
    <w:rsid w:val="004D16D8"/>
    <w:rsid w:val="004E7F60"/>
    <w:rsid w:val="00524F98"/>
    <w:rsid w:val="005B335B"/>
    <w:rsid w:val="005B53C0"/>
    <w:rsid w:val="005C318E"/>
    <w:rsid w:val="00636628"/>
    <w:rsid w:val="006A66C4"/>
    <w:rsid w:val="006B4E41"/>
    <w:rsid w:val="00732819"/>
    <w:rsid w:val="00785A00"/>
    <w:rsid w:val="007C2A82"/>
    <w:rsid w:val="007D780C"/>
    <w:rsid w:val="00824624"/>
    <w:rsid w:val="00847015"/>
    <w:rsid w:val="00897B67"/>
    <w:rsid w:val="008E2A03"/>
    <w:rsid w:val="008F6FC2"/>
    <w:rsid w:val="009A395D"/>
    <w:rsid w:val="009A578D"/>
    <w:rsid w:val="009D7BDC"/>
    <w:rsid w:val="009F1C2D"/>
    <w:rsid w:val="00AA3A6D"/>
    <w:rsid w:val="00AC1980"/>
    <w:rsid w:val="00AE5FC8"/>
    <w:rsid w:val="00B15A88"/>
    <w:rsid w:val="00C030A8"/>
    <w:rsid w:val="00C270B3"/>
    <w:rsid w:val="00C76F2F"/>
    <w:rsid w:val="00CA03E5"/>
    <w:rsid w:val="00CD6011"/>
    <w:rsid w:val="00DA1D47"/>
    <w:rsid w:val="00DC2B49"/>
    <w:rsid w:val="00DE7F58"/>
    <w:rsid w:val="00E34187"/>
    <w:rsid w:val="00E9276F"/>
    <w:rsid w:val="00EC1827"/>
    <w:rsid w:val="00EE61FB"/>
    <w:rsid w:val="00F3277D"/>
    <w:rsid w:val="00F60AD0"/>
    <w:rsid w:val="00F65C6E"/>
    <w:rsid w:val="00F70ACE"/>
    <w:rsid w:val="00F82B30"/>
    <w:rsid w:val="00FD4232"/>
    <w:rsid w:val="00FD5B27"/>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99D"/>
    <w:rPr>
      <w:rFonts w:asciiTheme="majorHAnsi" w:hAnsiTheme="majorHAnsi"/>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3A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Retrait1">
    <w:name w:val="Retrait1"/>
    <w:basedOn w:val="Normal"/>
    <w:link w:val="Retrait1Char"/>
    <w:rsid w:val="00AA3A6D"/>
    <w:pPr>
      <w:numPr>
        <w:numId w:val="1"/>
      </w:numPr>
      <w:spacing w:before="120" w:after="120"/>
      <w:jc w:val="both"/>
    </w:pPr>
    <w:rPr>
      <w:rFonts w:ascii="Verdana" w:eastAsia="Times New Roman" w:hAnsi="Verdana" w:cs="Times New Roman"/>
      <w:sz w:val="22"/>
      <w:szCs w:val="22"/>
    </w:rPr>
  </w:style>
  <w:style w:type="character" w:customStyle="1" w:styleId="Retrait1Char">
    <w:name w:val="Retrait1 Char"/>
    <w:basedOn w:val="Policepardfaut"/>
    <w:link w:val="Retrait1"/>
    <w:rsid w:val="00AA3A6D"/>
    <w:rPr>
      <w:rFonts w:ascii="Verdana" w:eastAsia="Times New Roman" w:hAnsi="Verdana" w:cs="Times New Roman"/>
      <w:sz w:val="22"/>
      <w:szCs w:val="22"/>
      <w:lang w:val="fr-CA"/>
    </w:rPr>
  </w:style>
  <w:style w:type="paragraph" w:styleId="Paragraphedeliste">
    <w:name w:val="List Paragraph"/>
    <w:basedOn w:val="Normal"/>
    <w:uiPriority w:val="34"/>
    <w:qFormat/>
    <w:rsid w:val="009D7BDC"/>
    <w:pPr>
      <w:ind w:left="720"/>
      <w:contextualSpacing/>
    </w:pPr>
  </w:style>
  <w:style w:type="paragraph" w:styleId="En-tte">
    <w:name w:val="header"/>
    <w:basedOn w:val="Normal"/>
    <w:link w:val="En-tteCar"/>
    <w:uiPriority w:val="99"/>
    <w:unhideWhenUsed/>
    <w:rsid w:val="00824624"/>
    <w:pPr>
      <w:tabs>
        <w:tab w:val="center" w:pos="4536"/>
        <w:tab w:val="right" w:pos="9072"/>
      </w:tabs>
    </w:pPr>
  </w:style>
  <w:style w:type="character" w:customStyle="1" w:styleId="En-tteCar">
    <w:name w:val="En-tête Car"/>
    <w:basedOn w:val="Policepardfaut"/>
    <w:link w:val="En-tte"/>
    <w:uiPriority w:val="99"/>
    <w:rsid w:val="00824624"/>
    <w:rPr>
      <w:rFonts w:asciiTheme="majorHAnsi" w:hAnsiTheme="majorHAnsi"/>
      <w:lang w:val="fr-CA"/>
    </w:rPr>
  </w:style>
  <w:style w:type="paragraph" w:styleId="Pieddepage">
    <w:name w:val="footer"/>
    <w:basedOn w:val="Normal"/>
    <w:link w:val="PieddepageCar"/>
    <w:uiPriority w:val="99"/>
    <w:unhideWhenUsed/>
    <w:rsid w:val="00824624"/>
    <w:pPr>
      <w:tabs>
        <w:tab w:val="center" w:pos="4536"/>
        <w:tab w:val="right" w:pos="9072"/>
      </w:tabs>
    </w:pPr>
  </w:style>
  <w:style w:type="character" w:customStyle="1" w:styleId="PieddepageCar">
    <w:name w:val="Pied de page Car"/>
    <w:basedOn w:val="Policepardfaut"/>
    <w:link w:val="Pieddepage"/>
    <w:uiPriority w:val="99"/>
    <w:rsid w:val="00824624"/>
    <w:rPr>
      <w:rFonts w:asciiTheme="majorHAnsi" w:hAnsiTheme="majorHAnsi"/>
      <w:lang w:val="fr-CA"/>
    </w:rPr>
  </w:style>
  <w:style w:type="paragraph" w:styleId="Textedebulles">
    <w:name w:val="Balloon Text"/>
    <w:basedOn w:val="Normal"/>
    <w:link w:val="TextedebullesCar"/>
    <w:uiPriority w:val="99"/>
    <w:semiHidden/>
    <w:unhideWhenUsed/>
    <w:rsid w:val="005B53C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53C0"/>
    <w:rPr>
      <w:rFonts w:ascii="Lucida Grande" w:hAnsi="Lucida Grande" w:cs="Lucida Grande"/>
      <w:sz w:val="18"/>
      <w:szCs w:val="18"/>
      <w:lang w:val="fr-CA"/>
    </w:rPr>
  </w:style>
  <w:style w:type="paragraph" w:styleId="Notedebasdepage">
    <w:name w:val="footnote text"/>
    <w:basedOn w:val="Normal"/>
    <w:link w:val="NotedebasdepageCar"/>
    <w:uiPriority w:val="99"/>
    <w:unhideWhenUsed/>
    <w:rsid w:val="009A578D"/>
  </w:style>
  <w:style w:type="character" w:customStyle="1" w:styleId="NotedebasdepageCar">
    <w:name w:val="Note de bas de page Car"/>
    <w:basedOn w:val="Policepardfaut"/>
    <w:link w:val="Notedebasdepage"/>
    <w:uiPriority w:val="99"/>
    <w:rsid w:val="009A578D"/>
    <w:rPr>
      <w:rFonts w:asciiTheme="majorHAnsi" w:hAnsiTheme="majorHAnsi"/>
      <w:lang w:val="fr-CA"/>
    </w:rPr>
  </w:style>
  <w:style w:type="character" w:styleId="Appelnotedebasdep">
    <w:name w:val="footnote reference"/>
    <w:basedOn w:val="Policepardfaut"/>
    <w:uiPriority w:val="99"/>
    <w:unhideWhenUsed/>
    <w:rsid w:val="009A578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3065</Words>
  <Characters>16860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UdeM</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Guévin</dc:creator>
  <cp:keywords/>
  <cp:lastModifiedBy>AdmPharm</cp:lastModifiedBy>
  <cp:revision>2</cp:revision>
  <dcterms:created xsi:type="dcterms:W3CDTF">2011-12-15T14:58:00Z</dcterms:created>
  <dcterms:modified xsi:type="dcterms:W3CDTF">2011-12-15T14:58:00Z</dcterms:modified>
</cp:coreProperties>
</file>