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0B" w:rsidRDefault="00B4630B" w:rsidP="009170B8">
      <w:pPr>
        <w:rPr>
          <w:b/>
          <w:bCs/>
          <w:color w:val="5B9BD5" w:themeColor="accent1"/>
          <w:sz w:val="28"/>
          <w:szCs w:val="28"/>
        </w:rPr>
      </w:pPr>
      <w:bookmarkStart w:id="0" w:name="_GoBack"/>
      <w:bookmarkEnd w:id="0"/>
      <w:r>
        <w:rPr>
          <w:noProof/>
        </w:rPr>
        <mc:AlternateContent>
          <mc:Choice Requires="wpg">
            <w:drawing>
              <wp:anchor distT="0" distB="0" distL="228600" distR="228600" simplePos="0" relativeHeight="251659264" behindDoc="1" locked="0" layoutInCell="1" allowOverlap="1">
                <wp:simplePos x="0" y="0"/>
                <wp:positionH relativeFrom="margin">
                  <wp:align>left</wp:align>
                </wp:positionH>
                <wp:positionV relativeFrom="margin">
                  <wp:posOffset>381000</wp:posOffset>
                </wp:positionV>
                <wp:extent cx="5848350" cy="3590925"/>
                <wp:effectExtent l="0" t="0" r="19050" b="28575"/>
                <wp:wrapSquare wrapText="bothSides"/>
                <wp:docPr id="201" name="Groupe 201"/>
                <wp:cNvGraphicFramePr/>
                <a:graphic xmlns:a="http://schemas.openxmlformats.org/drawingml/2006/main">
                  <a:graphicData uri="http://schemas.microsoft.com/office/word/2010/wordprocessingGroup">
                    <wpg:wgp>
                      <wpg:cNvGrpSpPr/>
                      <wpg:grpSpPr>
                        <a:xfrm>
                          <a:off x="0" y="0"/>
                          <a:ext cx="5848350" cy="3590925"/>
                          <a:chOff x="0" y="0"/>
                          <a:chExt cx="1828800" cy="7819190"/>
                        </a:xfrm>
                      </wpg:grpSpPr>
                      <wps:wsp>
                        <wps:cNvPr id="202" name="Rectangle 202"/>
                        <wps:cNvSpPr/>
                        <wps:spPr>
                          <a:xfrm>
                            <a:off x="0" y="0"/>
                            <a:ext cx="1828800" cy="2286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81194"/>
                            <a:ext cx="1828800" cy="6537996"/>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B4630B" w:rsidRDefault="009A7C18" w:rsidP="009A7C18">
                              <w:pPr>
                                <w:rPr>
                                  <w:color w:val="FFFFFF" w:themeColor="background1"/>
                                </w:rPr>
                              </w:pPr>
                              <w:r w:rsidRPr="009A7C18">
                                <w:rPr>
                                  <w:color w:val="FFFFFF" w:themeColor="background1"/>
                                </w:rPr>
                                <w:t>Cette discipline décrit « la capacité à faire émerger, à tester et à améliorer les représentations du monde que nous portons. » (</w:t>
                              </w:r>
                              <w:proofErr w:type="spellStart"/>
                              <w:r w:rsidRPr="009A7C18">
                                <w:rPr>
                                  <w:color w:val="FFFFFF" w:themeColor="background1"/>
                                </w:rPr>
                                <w:t>Senge</w:t>
                              </w:r>
                              <w:proofErr w:type="spellEnd"/>
                              <w:r w:rsidRPr="009A7C18">
                                <w:rPr>
                                  <w:color w:val="FFFFFF" w:themeColor="background1"/>
                                </w:rPr>
                                <w:t>, 2016, p. 169)</w:t>
                              </w:r>
                              <w:r>
                                <w:rPr>
                                  <w:color w:val="FFFFFF" w:themeColor="background1"/>
                                </w:rPr>
                                <w:t xml:space="preserve">. </w:t>
                              </w:r>
                              <w:r w:rsidRPr="009A7C18">
                                <w:rPr>
                                  <w:color w:val="FFFFFF" w:themeColor="background1"/>
                                </w:rPr>
                                <w:t xml:space="preserve"> </w:t>
                              </w:r>
                            </w:p>
                            <w:p w:rsidR="00B4630B" w:rsidRDefault="009A7C18" w:rsidP="009A7C18">
                              <w:pPr>
                                <w:rPr>
                                  <w:color w:val="FFFFFF" w:themeColor="background1"/>
                                </w:rPr>
                              </w:pPr>
                              <w:r w:rsidRPr="009A7C18">
                                <w:rPr>
                                  <w:color w:val="FFFFFF" w:themeColor="background1"/>
                                </w:rPr>
                                <w:t xml:space="preserve">Chaque individu envisage une situation, un évènement de façon différente, car nous appliquons pour le faire nos prismes mentaux personnels. Ne pas en être conscient est dangereux, car il peut mener à l’échec des plus beaux projets et des meilleures idées. </w:t>
                              </w:r>
                              <w:r>
                                <w:rPr>
                                  <w:color w:val="FFFFFF" w:themeColor="background1"/>
                                </w:rPr>
                                <w:t xml:space="preserve"> </w:t>
                              </w:r>
                            </w:p>
                            <w:p w:rsidR="009A7C18" w:rsidRPr="009A7C18" w:rsidRDefault="009A7C18" w:rsidP="009A7C18">
                              <w:pPr>
                                <w:rPr>
                                  <w:color w:val="FFFFFF" w:themeColor="background1"/>
                                </w:rPr>
                              </w:pPr>
                              <w:proofErr w:type="spellStart"/>
                              <w:r w:rsidRPr="009A7C18">
                                <w:rPr>
                                  <w:color w:val="FFFFFF" w:themeColor="background1"/>
                                </w:rPr>
                                <w:t>Senge</w:t>
                              </w:r>
                              <w:proofErr w:type="spellEnd"/>
                              <w:r w:rsidRPr="009A7C18">
                                <w:rPr>
                                  <w:color w:val="FFFFFF" w:themeColor="background1"/>
                                </w:rPr>
                                <w:t xml:space="preserve"> (2016) introduit trois axes qui en interagissant ensemble, permettent à une organisation de faire émerger et évoluer les modèles mentaux: </w:t>
                              </w:r>
                            </w:p>
                            <w:p w:rsidR="009A7C18" w:rsidRPr="009A7C18" w:rsidRDefault="009A7C18" w:rsidP="009A7C18">
                              <w:pPr>
                                <w:numPr>
                                  <w:ilvl w:val="0"/>
                                  <w:numId w:val="1"/>
                                </w:numPr>
                                <w:rPr>
                                  <w:color w:val="FFFFFF" w:themeColor="background1"/>
                                </w:rPr>
                              </w:pPr>
                              <w:r w:rsidRPr="009A7C18">
                                <w:rPr>
                                  <w:color w:val="FFFFFF" w:themeColor="background1"/>
                                </w:rPr>
                                <w:t>« Des outils qui favorisent la prise de conscience personnelle et les capacités de réflexion;</w:t>
                              </w:r>
                            </w:p>
                            <w:p w:rsidR="009A7C18" w:rsidRPr="009A7C18" w:rsidRDefault="009A7C18" w:rsidP="009A7C18">
                              <w:pPr>
                                <w:numPr>
                                  <w:ilvl w:val="0"/>
                                  <w:numId w:val="1"/>
                                </w:numPr>
                                <w:rPr>
                                  <w:color w:val="FFFFFF" w:themeColor="background1"/>
                                </w:rPr>
                              </w:pPr>
                              <w:r w:rsidRPr="009A7C18">
                                <w:rPr>
                                  <w:color w:val="FFFFFF" w:themeColor="background1"/>
                                </w:rPr>
                                <w:t>Des infrastructures qui permettent la pratique régulière des modèles mentaux;</w:t>
                              </w:r>
                            </w:p>
                            <w:p w:rsidR="009A7C18" w:rsidRPr="009A7C18" w:rsidRDefault="009A7C18" w:rsidP="009A7C18">
                              <w:pPr>
                                <w:numPr>
                                  <w:ilvl w:val="0"/>
                                  <w:numId w:val="1"/>
                                </w:numPr>
                                <w:rPr>
                                  <w:i/>
                                  <w:iCs/>
                                  <w:color w:val="FFFFFF" w:themeColor="background1"/>
                                </w:rPr>
                              </w:pPr>
                              <w:r w:rsidRPr="009A7C18">
                                <w:rPr>
                                  <w:color w:val="FFFFFF" w:themeColor="background1"/>
                                </w:rPr>
                                <w:t>Une culture qui favorise à la fois l’exploration et la remise en question de notre façon de penser. »</w:t>
                              </w:r>
                              <w:r w:rsidRPr="009A7C18">
                                <w:rPr>
                                  <w:i/>
                                  <w:iCs/>
                                  <w:color w:val="FFFFFF" w:themeColor="background1"/>
                                </w:rPr>
                                <w:t xml:space="preserve"> </w:t>
                              </w:r>
                              <w:r w:rsidRPr="009A7C18">
                                <w:rPr>
                                  <w:color w:val="FFFFFF" w:themeColor="background1"/>
                                </w:rPr>
                                <w:t>(</w:t>
                              </w:r>
                              <w:proofErr w:type="spellStart"/>
                              <w:r w:rsidRPr="009A7C18">
                                <w:rPr>
                                  <w:color w:val="FFFFFF" w:themeColor="background1"/>
                                </w:rPr>
                                <w:t>Senge</w:t>
                              </w:r>
                              <w:proofErr w:type="spellEnd"/>
                              <w:r w:rsidRPr="009A7C18">
                                <w:rPr>
                                  <w:color w:val="FFFFFF" w:themeColor="background1"/>
                                </w:rPr>
                                <w:t>, 2016, p. 177)</w:t>
                              </w:r>
                            </w:p>
                            <w:p w:rsidR="006D5FEF" w:rsidRDefault="006D5FEF" w:rsidP="009A7C18">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Zone de texte 204"/>
                        <wps:cNvSpPr txBox="1"/>
                        <wps:spPr>
                          <a:xfrm>
                            <a:off x="0" y="231820"/>
                            <a:ext cx="1828800" cy="929652"/>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5FEF" w:rsidRPr="00B4630B" w:rsidRDefault="006D5FEF" w:rsidP="006D5FEF">
                              <w:pPr>
                                <w:pStyle w:val="Sansinterligne"/>
                                <w:jc w:val="center"/>
                                <w:rPr>
                                  <w:rFonts w:asciiTheme="majorHAnsi" w:eastAsiaTheme="majorEastAsia" w:hAnsiTheme="majorHAnsi" w:cstheme="majorBidi"/>
                                  <w:b/>
                                  <w:bCs/>
                                  <w:caps/>
                                  <w:color w:val="FFFFFF" w:themeColor="background1"/>
                                  <w:sz w:val="28"/>
                                  <w:szCs w:val="28"/>
                                </w:rPr>
                              </w:pPr>
                              <w:r w:rsidRPr="00B4630B">
                                <w:rPr>
                                  <w:rFonts w:asciiTheme="majorHAnsi" w:eastAsiaTheme="majorEastAsia" w:hAnsiTheme="majorHAnsi" w:cstheme="majorBidi"/>
                                  <w:b/>
                                  <w:bCs/>
                                  <w:caps/>
                                  <w:color w:val="FFFFFF" w:themeColor="background1"/>
                                  <w:sz w:val="28"/>
                                  <w:szCs w:val="28"/>
                                </w:rPr>
                                <w:t>Définition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01" o:spid="_x0000_s1026" style="position:absolute;margin-left:0;margin-top:30pt;width:460.5pt;height:282.75pt;z-index:-251657216;mso-wrap-distance-left:18pt;mso-wrap-distance-right:18pt;mso-position-horizontal:left;mso-position-horizontal-relative:margin;mso-position-vertical-relative:margin;mso-width-relative:margin;mso-height-relative:margin" coordsize="1828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" fillcolor="#5b9bd5 [3204]" strokecolor="#1f4d78 [1604]" strokeweight="1pt"/>
                <v:rect id="Rectangle 203" o:spid="_x0000_s1028" style="position:absolute;top:12811;width:18288;height:6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" fillcolor="#5b9bd5 [3204]" strokecolor="#1f4d78 [1604]" strokeweight="1pt">
                  <v:textbox inset=",14.4pt,8.64pt,18pt">
                    <w:txbxContent>
                      <w:p w:rsidR="00B4630B" w:rsidRDefault="009A7C18" w:rsidP="009A7C18">
                        <w:pPr>
                          <w:rPr>
                            <w:color w:val="FFFFFF" w:themeColor="background1"/>
                          </w:rPr>
                        </w:pPr>
                        <w:r w:rsidRPr="009A7C18">
                          <w:rPr>
                            <w:color w:val="FFFFFF" w:themeColor="background1"/>
                          </w:rPr>
                          <w:t>Cette discipline décrit « la capacité à faire émerger, à tester et à améliorer les représentations du monde que nous portons. » (</w:t>
                        </w:r>
                        <w:proofErr w:type="spellStart"/>
                        <w:r w:rsidRPr="009A7C18">
                          <w:rPr>
                            <w:color w:val="FFFFFF" w:themeColor="background1"/>
                          </w:rPr>
                          <w:t>Senge</w:t>
                        </w:r>
                        <w:proofErr w:type="spellEnd"/>
                        <w:r w:rsidRPr="009A7C18">
                          <w:rPr>
                            <w:color w:val="FFFFFF" w:themeColor="background1"/>
                          </w:rPr>
                          <w:t>, 2016, p. 169)</w:t>
                        </w:r>
                        <w:r>
                          <w:rPr>
                            <w:color w:val="FFFFFF" w:themeColor="background1"/>
                          </w:rPr>
                          <w:t xml:space="preserve">. </w:t>
                        </w:r>
                        <w:r w:rsidRPr="009A7C18">
                          <w:rPr>
                            <w:color w:val="FFFFFF" w:themeColor="background1"/>
                          </w:rPr>
                          <w:t xml:space="preserve"> </w:t>
                        </w:r>
                      </w:p>
                      <w:p w:rsidR="00B4630B" w:rsidRDefault="009A7C18" w:rsidP="009A7C18">
                        <w:pPr>
                          <w:rPr>
                            <w:color w:val="FFFFFF" w:themeColor="background1"/>
                          </w:rPr>
                        </w:pPr>
                        <w:r w:rsidRPr="009A7C18">
                          <w:rPr>
                            <w:color w:val="FFFFFF" w:themeColor="background1"/>
                          </w:rPr>
                          <w:t xml:space="preserve">Chaque individu envisage une situation, un évènement de façon différente, car nous appliquons pour le faire nos prismes mentaux personnels. Ne pas en être conscient est dangereux, car il peut mener à l’échec des plus beaux projets et des meilleures idées. </w:t>
                        </w:r>
                        <w:r>
                          <w:rPr>
                            <w:color w:val="FFFFFF" w:themeColor="background1"/>
                          </w:rPr>
                          <w:t xml:space="preserve"> </w:t>
                        </w:r>
                      </w:p>
                      <w:p w:rsidR="009A7C18" w:rsidRPr="009A7C18" w:rsidRDefault="009A7C18" w:rsidP="009A7C18">
                        <w:pPr>
                          <w:rPr>
                            <w:color w:val="FFFFFF" w:themeColor="background1"/>
                          </w:rPr>
                        </w:pPr>
                        <w:proofErr w:type="spellStart"/>
                        <w:r w:rsidRPr="009A7C18">
                          <w:rPr>
                            <w:color w:val="FFFFFF" w:themeColor="background1"/>
                          </w:rPr>
                          <w:t>Senge</w:t>
                        </w:r>
                        <w:proofErr w:type="spellEnd"/>
                        <w:r w:rsidRPr="009A7C18">
                          <w:rPr>
                            <w:color w:val="FFFFFF" w:themeColor="background1"/>
                          </w:rPr>
                          <w:t xml:space="preserve"> (2016) introduit trois axes qui en interagissant ensemble, permettent à une organisation de faire émerger et évoluer les modèles mentaux: </w:t>
                        </w:r>
                      </w:p>
                      <w:p w:rsidR="009A7C18" w:rsidRPr="009A7C18" w:rsidRDefault="009A7C18" w:rsidP="009A7C18">
                        <w:pPr>
                          <w:numPr>
                            <w:ilvl w:val="0"/>
                            <w:numId w:val="1"/>
                          </w:numPr>
                          <w:rPr>
                            <w:color w:val="FFFFFF" w:themeColor="background1"/>
                          </w:rPr>
                        </w:pPr>
                        <w:r w:rsidRPr="009A7C18">
                          <w:rPr>
                            <w:color w:val="FFFFFF" w:themeColor="background1"/>
                          </w:rPr>
                          <w:t>« Des outils qui favorisent la prise de conscience personnelle et les capacités de réflexion;</w:t>
                        </w:r>
                      </w:p>
                      <w:p w:rsidR="009A7C18" w:rsidRPr="009A7C18" w:rsidRDefault="009A7C18" w:rsidP="009A7C18">
                        <w:pPr>
                          <w:numPr>
                            <w:ilvl w:val="0"/>
                            <w:numId w:val="1"/>
                          </w:numPr>
                          <w:rPr>
                            <w:color w:val="FFFFFF" w:themeColor="background1"/>
                          </w:rPr>
                        </w:pPr>
                        <w:r w:rsidRPr="009A7C18">
                          <w:rPr>
                            <w:color w:val="FFFFFF" w:themeColor="background1"/>
                          </w:rPr>
                          <w:t>Des infrastructures qui permettent la pratique régulière des modèles mentaux;</w:t>
                        </w:r>
                      </w:p>
                      <w:p w:rsidR="009A7C18" w:rsidRPr="009A7C18" w:rsidRDefault="009A7C18" w:rsidP="009A7C18">
                        <w:pPr>
                          <w:numPr>
                            <w:ilvl w:val="0"/>
                            <w:numId w:val="1"/>
                          </w:numPr>
                          <w:rPr>
                            <w:i/>
                            <w:iCs/>
                            <w:color w:val="FFFFFF" w:themeColor="background1"/>
                          </w:rPr>
                        </w:pPr>
                        <w:r w:rsidRPr="009A7C18">
                          <w:rPr>
                            <w:color w:val="FFFFFF" w:themeColor="background1"/>
                          </w:rPr>
                          <w:t>Une culture qui favorise à la fois l’exploration et la remise en question de notre façon de penser. »</w:t>
                        </w:r>
                        <w:r w:rsidRPr="009A7C18">
                          <w:rPr>
                            <w:i/>
                            <w:iCs/>
                            <w:color w:val="FFFFFF" w:themeColor="background1"/>
                          </w:rPr>
                          <w:t xml:space="preserve"> </w:t>
                        </w:r>
                        <w:r w:rsidRPr="009A7C18">
                          <w:rPr>
                            <w:color w:val="FFFFFF" w:themeColor="background1"/>
                          </w:rPr>
                          <w:t>(</w:t>
                        </w:r>
                        <w:proofErr w:type="spellStart"/>
                        <w:r w:rsidRPr="009A7C18">
                          <w:rPr>
                            <w:color w:val="FFFFFF" w:themeColor="background1"/>
                          </w:rPr>
                          <w:t>Senge</w:t>
                        </w:r>
                        <w:proofErr w:type="spellEnd"/>
                        <w:r w:rsidRPr="009A7C18">
                          <w:rPr>
                            <w:color w:val="FFFFFF" w:themeColor="background1"/>
                          </w:rPr>
                          <w:t>, 2016, p. 177)</w:t>
                        </w:r>
                      </w:p>
                      <w:p w:rsidR="006D5FEF" w:rsidRDefault="006D5FEF" w:rsidP="009A7C18">
                        <w:pPr>
                          <w:rPr>
                            <w:color w:val="FFFFFF" w:themeColor="background1"/>
                          </w:rPr>
                        </w:pPr>
                      </w:p>
                    </w:txbxContent>
                  </v:textbox>
                </v:rect>
                <v:shapetype id="_x0000_t202" coordsize="21600,21600" o:spt="202" path="m,l,21600r21600,l21600,xe">
                  <v:stroke joinstyle="miter"/>
                  <v:path gradientshapeok="t" o:connecttype="rect"/>
                </v:shapetype>
                <v:shape id="Zone de texte 204" o:spid="_x0000_s1029" type="#_x0000_t202" style="position:absolute;top:2318;width:18288;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" fillcolor="#5b9bd5 [3204]" strokecolor="#1f4d78 [1604]" strokeweight="1pt">
                  <v:textbox inset=",7.2pt,,7.2pt">
                    <w:txbxContent>
                      <w:p w:rsidR="006D5FEF" w:rsidRPr="00B4630B" w:rsidRDefault="006D5FEF" w:rsidP="006D5FEF">
                        <w:pPr>
                          <w:pStyle w:val="Sansinterligne"/>
                          <w:jc w:val="center"/>
                          <w:rPr>
                            <w:rFonts w:asciiTheme="majorHAnsi" w:eastAsiaTheme="majorEastAsia" w:hAnsiTheme="majorHAnsi" w:cstheme="majorBidi"/>
                            <w:b/>
                            <w:bCs/>
                            <w:caps/>
                            <w:color w:val="FFFFFF" w:themeColor="background1"/>
                            <w:sz w:val="28"/>
                            <w:szCs w:val="28"/>
                          </w:rPr>
                        </w:pPr>
                        <w:r w:rsidRPr="00B4630B">
                          <w:rPr>
                            <w:rFonts w:asciiTheme="majorHAnsi" w:eastAsiaTheme="majorEastAsia" w:hAnsiTheme="majorHAnsi" w:cstheme="majorBidi"/>
                            <w:b/>
                            <w:bCs/>
                            <w:caps/>
                            <w:color w:val="FFFFFF" w:themeColor="background1"/>
                            <w:sz w:val="28"/>
                            <w:szCs w:val="28"/>
                          </w:rPr>
                          <w:t>Définition</w:t>
                        </w:r>
                      </w:p>
                    </w:txbxContent>
                  </v:textbox>
                </v:shape>
                <w10:wrap type="square" anchorx="margin" anchory="margin"/>
              </v:group>
            </w:pict>
          </mc:Fallback>
        </mc:AlternateContent>
      </w:r>
    </w:p>
    <w:p w:rsidR="009170B8" w:rsidRDefault="009170B8" w:rsidP="00B4630B">
      <w:pPr>
        <w:jc w:val="center"/>
        <w:rPr>
          <w:b/>
          <w:bCs/>
          <w:color w:val="5B9BD5" w:themeColor="accent1"/>
          <w:sz w:val="28"/>
          <w:szCs w:val="28"/>
        </w:rPr>
      </w:pPr>
    </w:p>
    <w:p w:rsidR="006D5FEF" w:rsidRPr="00B4630B" w:rsidRDefault="009170B8" w:rsidP="00B4630B">
      <w:pPr>
        <w:jc w:val="center"/>
        <w:rPr>
          <w:b/>
          <w:bCs/>
          <w:color w:val="5B9BD5" w:themeColor="accent1"/>
          <w:sz w:val="28"/>
          <w:szCs w:val="28"/>
        </w:rPr>
      </w:pPr>
      <w:r>
        <w:rPr>
          <w:noProof/>
          <w:lang w:eastAsia="fr-CA"/>
        </w:rPr>
        <w:drawing>
          <wp:anchor distT="0" distB="0" distL="114300" distR="114300" simplePos="0" relativeHeight="251660288" behindDoc="0" locked="0" layoutInCell="1" allowOverlap="1">
            <wp:simplePos x="0" y="0"/>
            <wp:positionH relativeFrom="column">
              <wp:posOffset>371475</wp:posOffset>
            </wp:positionH>
            <wp:positionV relativeFrom="paragraph">
              <wp:posOffset>292735</wp:posOffset>
            </wp:positionV>
            <wp:extent cx="4667250" cy="3048000"/>
            <wp:effectExtent l="0" t="0" r="0" b="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anchor>
        </w:drawing>
      </w:r>
      <w:r w:rsidR="006D5FEF" w:rsidRPr="00B4630B">
        <w:rPr>
          <w:b/>
          <w:bCs/>
          <w:color w:val="5B9BD5" w:themeColor="accent1"/>
          <w:sz w:val="28"/>
          <w:szCs w:val="28"/>
        </w:rPr>
        <w:t>RESSOURCES</w:t>
      </w:r>
    </w:p>
    <w:p w:rsidR="006D5FEF" w:rsidRDefault="009170B8" w:rsidP="006D5FEF">
      <w:r>
        <w:br w:type="textWrapping" w:clear="all"/>
      </w:r>
    </w:p>
    <w:sectPr w:rsidR="006D5FEF">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B2" w:rsidRDefault="005851B2" w:rsidP="006D5FEF">
      <w:pPr>
        <w:spacing w:after="0" w:line="240" w:lineRule="auto"/>
      </w:pPr>
      <w:r>
        <w:separator/>
      </w:r>
    </w:p>
  </w:endnote>
  <w:endnote w:type="continuationSeparator" w:id="0">
    <w:p w:rsidR="005851B2" w:rsidRDefault="005851B2" w:rsidP="006D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B2" w:rsidRDefault="005851B2" w:rsidP="006D5FEF">
      <w:pPr>
        <w:spacing w:after="0" w:line="240" w:lineRule="auto"/>
      </w:pPr>
      <w:r>
        <w:separator/>
      </w:r>
    </w:p>
  </w:footnote>
  <w:footnote w:type="continuationSeparator" w:id="0">
    <w:p w:rsidR="005851B2" w:rsidRDefault="005851B2" w:rsidP="006D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F" w:rsidRPr="008E324E" w:rsidRDefault="006D5FEF" w:rsidP="00700B71">
    <w:pPr>
      <w:pStyle w:val="En-tte"/>
      <w:jc w:val="center"/>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24E">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ORGANISATION APPRENANTE</w:t>
    </w:r>
  </w:p>
  <w:p w:rsidR="00B4630B" w:rsidRPr="008E324E" w:rsidRDefault="00B4630B" w:rsidP="00700B71">
    <w:pPr>
      <w:pStyle w:val="En-tte"/>
      <w:jc w:val="center"/>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24E">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Modèles mentaux</w:t>
    </w:r>
  </w:p>
  <w:p w:rsidR="006D5FEF" w:rsidRPr="00700B71" w:rsidRDefault="006D5FEF" w:rsidP="00700B71">
    <w:pPr>
      <w:pStyle w:val="En-tte"/>
      <w:jc w:val="center"/>
      <w:rPr>
        <w: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441E0"/>
    <w:multiLevelType w:val="hybridMultilevel"/>
    <w:tmpl w:val="E9947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7"/>
    <w:rsid w:val="00085EB8"/>
    <w:rsid w:val="005851B2"/>
    <w:rsid w:val="006D5FEF"/>
    <w:rsid w:val="00700B71"/>
    <w:rsid w:val="008E0B52"/>
    <w:rsid w:val="008E324E"/>
    <w:rsid w:val="009170B8"/>
    <w:rsid w:val="009A7C18"/>
    <w:rsid w:val="00AA27E2"/>
    <w:rsid w:val="00B4630B"/>
    <w:rsid w:val="00E1566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C47F"/>
  <w15:chartTrackingRefBased/>
  <w15:docId w15:val="{BEFBCF3F-FB6E-4E2F-9D97-60B7031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D5FEF"/>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6D5FEF"/>
    <w:rPr>
      <w:rFonts w:eastAsiaTheme="minorEastAsia"/>
      <w:lang w:eastAsia="fr-CA"/>
    </w:rPr>
  </w:style>
  <w:style w:type="paragraph" w:styleId="En-tte">
    <w:name w:val="header"/>
    <w:basedOn w:val="Normal"/>
    <w:link w:val="En-tteCar"/>
    <w:uiPriority w:val="99"/>
    <w:unhideWhenUsed/>
    <w:rsid w:val="006D5FEF"/>
    <w:pPr>
      <w:tabs>
        <w:tab w:val="center" w:pos="4320"/>
        <w:tab w:val="right" w:pos="8640"/>
      </w:tabs>
      <w:spacing w:after="0" w:line="240" w:lineRule="auto"/>
    </w:pPr>
  </w:style>
  <w:style w:type="character" w:customStyle="1" w:styleId="En-tteCar">
    <w:name w:val="En-tête Car"/>
    <w:basedOn w:val="Policepardfaut"/>
    <w:link w:val="En-tte"/>
    <w:uiPriority w:val="99"/>
    <w:rsid w:val="006D5FEF"/>
  </w:style>
  <w:style w:type="paragraph" w:styleId="Pieddepage">
    <w:name w:val="footer"/>
    <w:basedOn w:val="Normal"/>
    <w:link w:val="PieddepageCar"/>
    <w:uiPriority w:val="99"/>
    <w:unhideWhenUsed/>
    <w:rsid w:val="006D5F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096D09-CB8F-46E1-B870-B669F66F50F2}" type="doc">
      <dgm:prSet loTypeId="urn:microsoft.com/office/officeart/2008/layout/VerticalCurvedList" loCatId="list" qsTypeId="urn:microsoft.com/office/officeart/2005/8/quickstyle/simple1" qsCatId="simple" csTypeId="urn:microsoft.com/office/officeart/2005/8/colors/accent1_1" csCatId="accent1" phldr="1"/>
      <dgm:spPr/>
      <dgm:t>
        <a:bodyPr/>
        <a:lstStyle/>
        <a:p>
          <a:endParaRPr lang="fr-FR"/>
        </a:p>
      </dgm:t>
    </dgm:pt>
    <dgm:pt modelId="{67E32865-DB29-45E5-BD61-0815DBFBD017}">
      <dgm:prSet custT="1"/>
      <dgm:spPr/>
      <dgm:t>
        <a:bodyPr/>
        <a:lstStyle/>
        <a:p>
          <a:r>
            <a:rPr lang="fr-FR" sz="1000" u="none"/>
            <a:t>Scenario Planning : présentation de Adam Kahane</a:t>
          </a:r>
          <a:endParaRPr lang="fr-FR" sz="1000"/>
        </a:p>
        <a:p>
          <a:r>
            <a:rPr lang="fr-FR" sz="1000"/>
            <a:t>https://www.youtube.com/watch?v=XiGS9Vq0FGA</a:t>
          </a:r>
        </a:p>
        <a:p>
          <a:endParaRPr lang="fr-CA" sz="1000"/>
        </a:p>
      </dgm:t>
    </dgm:pt>
    <dgm:pt modelId="{2171F0A2-8700-4CD5-B635-427F45D62D82}" type="parTrans" cxnId="{4481D5B6-A30E-4482-9F20-9A88C4655091}">
      <dgm:prSet/>
      <dgm:spPr/>
      <dgm:t>
        <a:bodyPr/>
        <a:lstStyle/>
        <a:p>
          <a:endParaRPr lang="fr-FR"/>
        </a:p>
      </dgm:t>
    </dgm:pt>
    <dgm:pt modelId="{A1B5F83F-801B-4621-9DE9-3F42594F6931}" type="sibTrans" cxnId="{4481D5B6-A30E-4482-9F20-9A88C4655091}">
      <dgm:prSet/>
      <dgm:spPr/>
      <dgm:t>
        <a:bodyPr/>
        <a:lstStyle/>
        <a:p>
          <a:endParaRPr lang="fr-FR"/>
        </a:p>
      </dgm:t>
    </dgm:pt>
    <dgm:pt modelId="{01F56F2C-D879-4418-B2CA-4CD77CAD3331}">
      <dgm:prSet custT="1"/>
      <dgm:spPr/>
      <dgm:t>
        <a:bodyPr/>
        <a:lstStyle/>
        <a:p>
          <a:endParaRPr lang="fr-FR" sz="1000"/>
        </a:p>
        <a:p>
          <a:r>
            <a:rPr lang="fr-FR" sz="1000"/>
            <a:t>Présentation sur l’échelle d’induction d’Argyris</a:t>
          </a:r>
        </a:p>
        <a:p>
          <a:r>
            <a:rPr lang="fr-FR" sz="1000"/>
            <a:t>https://www.youtube.com/watch?v=K9nFhs5W8o8</a:t>
          </a:r>
        </a:p>
        <a:p>
          <a:r>
            <a:rPr lang="fr-FR" sz="1000"/>
            <a:t>http://ed.ted.com/lessons/rethinking-thinking-trevor-maber</a:t>
          </a:r>
        </a:p>
        <a:p>
          <a:endParaRPr lang="fr-FR" sz="600"/>
        </a:p>
      </dgm:t>
    </dgm:pt>
    <dgm:pt modelId="{F528C442-C82B-4339-8168-155D75B56B36}" type="parTrans" cxnId="{24BEF254-B08B-4A15-8F29-21A42414158C}">
      <dgm:prSet/>
      <dgm:spPr/>
      <dgm:t>
        <a:bodyPr/>
        <a:lstStyle/>
        <a:p>
          <a:endParaRPr lang="fr-FR"/>
        </a:p>
      </dgm:t>
    </dgm:pt>
    <dgm:pt modelId="{9F2CA038-72CF-4F28-9EDF-069C09C7FC56}" type="sibTrans" cxnId="{24BEF254-B08B-4A15-8F29-21A42414158C}">
      <dgm:prSet/>
      <dgm:spPr/>
      <dgm:t>
        <a:bodyPr/>
        <a:lstStyle/>
        <a:p>
          <a:endParaRPr lang="fr-FR"/>
        </a:p>
      </dgm:t>
    </dgm:pt>
    <dgm:pt modelId="{00FDE8AA-41D6-4951-8183-CF5F4C623C56}">
      <dgm:prSet custT="1"/>
      <dgm:spPr/>
      <dgm:t>
        <a:bodyPr/>
        <a:lstStyle/>
        <a:p>
          <a:r>
            <a:rPr lang="fr-CA" sz="1000"/>
            <a:t>Senge, P. (2016). </a:t>
          </a:r>
          <a:r>
            <a:rPr lang="fr-CA" sz="1000" i="1"/>
            <a:t>La cinquième discipline: l’innovation collective dans les organisations apprenantes.</a:t>
          </a:r>
          <a:r>
            <a:rPr lang="fr-CA" sz="1000"/>
            <a:t> Paris : Eyrolles (1</a:t>
          </a:r>
          <a:r>
            <a:rPr lang="fr-CA" sz="1000" baseline="30000"/>
            <a:t>re</a:t>
          </a:r>
          <a:r>
            <a:rPr lang="fr-CA" sz="1000"/>
            <a:t> éd. 1990).</a:t>
          </a:r>
        </a:p>
      </dgm:t>
    </dgm:pt>
    <dgm:pt modelId="{7638FBEA-759E-4FF7-8E0C-74267E49F5D2}" type="parTrans" cxnId="{C1E328BC-B73C-444C-B6FF-4F6611DF3874}">
      <dgm:prSet/>
      <dgm:spPr/>
      <dgm:t>
        <a:bodyPr/>
        <a:lstStyle/>
        <a:p>
          <a:endParaRPr lang="fr-FR"/>
        </a:p>
      </dgm:t>
    </dgm:pt>
    <dgm:pt modelId="{75344623-6FB4-482E-9982-697E36D80061}" type="sibTrans" cxnId="{C1E328BC-B73C-444C-B6FF-4F6611DF3874}">
      <dgm:prSet/>
      <dgm:spPr/>
      <dgm:t>
        <a:bodyPr/>
        <a:lstStyle/>
        <a:p>
          <a:endParaRPr lang="fr-FR"/>
        </a:p>
      </dgm:t>
    </dgm:pt>
    <dgm:pt modelId="{E31111B9-9CE0-48EF-8EA2-122598F8E48C}" type="pres">
      <dgm:prSet presAssocID="{C6096D09-CB8F-46E1-B870-B669F66F50F2}" presName="Name0" presStyleCnt="0">
        <dgm:presLayoutVars>
          <dgm:chMax val="7"/>
          <dgm:chPref val="7"/>
          <dgm:dir/>
        </dgm:presLayoutVars>
      </dgm:prSet>
      <dgm:spPr/>
    </dgm:pt>
    <dgm:pt modelId="{2FF5CB5B-C72D-41BF-951D-5E75FE0EF5F3}" type="pres">
      <dgm:prSet presAssocID="{C6096D09-CB8F-46E1-B870-B669F66F50F2}" presName="Name1" presStyleCnt="0"/>
      <dgm:spPr/>
    </dgm:pt>
    <dgm:pt modelId="{6B242545-0533-4B4D-8DCF-3B78F9529313}" type="pres">
      <dgm:prSet presAssocID="{C6096D09-CB8F-46E1-B870-B669F66F50F2}" presName="cycle" presStyleCnt="0"/>
      <dgm:spPr/>
    </dgm:pt>
    <dgm:pt modelId="{8BA706F2-2F88-4252-9208-E73411C5F874}" type="pres">
      <dgm:prSet presAssocID="{C6096D09-CB8F-46E1-B870-B669F66F50F2}" presName="srcNode" presStyleLbl="node1" presStyleIdx="0" presStyleCnt="3"/>
      <dgm:spPr/>
    </dgm:pt>
    <dgm:pt modelId="{14638CAF-7A10-489A-9E7E-0DFE0613C473}" type="pres">
      <dgm:prSet presAssocID="{C6096D09-CB8F-46E1-B870-B669F66F50F2}" presName="conn" presStyleLbl="parChTrans1D2" presStyleIdx="0" presStyleCnt="1"/>
      <dgm:spPr/>
    </dgm:pt>
    <dgm:pt modelId="{C0CBB877-8871-447B-992B-289CEA328BAA}" type="pres">
      <dgm:prSet presAssocID="{C6096D09-CB8F-46E1-B870-B669F66F50F2}" presName="extraNode" presStyleLbl="node1" presStyleIdx="0" presStyleCnt="3"/>
      <dgm:spPr/>
    </dgm:pt>
    <dgm:pt modelId="{32B39BC2-AC83-48FD-97BC-D5A57C537873}" type="pres">
      <dgm:prSet presAssocID="{C6096D09-CB8F-46E1-B870-B669F66F50F2}" presName="dstNode" presStyleLbl="node1" presStyleIdx="0" presStyleCnt="3"/>
      <dgm:spPr/>
    </dgm:pt>
    <dgm:pt modelId="{B988C5F4-1616-4955-8B00-93FF2E52ED71}" type="pres">
      <dgm:prSet presAssocID="{00FDE8AA-41D6-4951-8183-CF5F4C623C56}" presName="text_1" presStyleLbl="node1" presStyleIdx="0" presStyleCnt="3">
        <dgm:presLayoutVars>
          <dgm:bulletEnabled val="1"/>
        </dgm:presLayoutVars>
      </dgm:prSet>
      <dgm:spPr/>
      <dgm:t>
        <a:bodyPr/>
        <a:lstStyle/>
        <a:p>
          <a:endParaRPr lang="fr-FR"/>
        </a:p>
      </dgm:t>
    </dgm:pt>
    <dgm:pt modelId="{0D538389-5A46-4D5A-A923-909EEA974170}" type="pres">
      <dgm:prSet presAssocID="{00FDE8AA-41D6-4951-8183-CF5F4C623C56}" presName="accent_1" presStyleCnt="0"/>
      <dgm:spPr/>
    </dgm:pt>
    <dgm:pt modelId="{055EE5AC-0543-43FC-B379-E0C76482982C}" type="pres">
      <dgm:prSet presAssocID="{00FDE8AA-41D6-4951-8183-CF5F4C623C56}" presName="accentRepeatNode" presStyleLbl="solidFgAcc1" presStyleIdx="0" presStyleCnt="3"/>
      <dgm:spPr/>
    </dgm:pt>
    <dgm:pt modelId="{76BDF3AE-D68F-40CA-A22C-DD63496FACAE}" type="pres">
      <dgm:prSet presAssocID="{01F56F2C-D879-4418-B2CA-4CD77CAD3331}" presName="text_2" presStyleLbl="node1" presStyleIdx="1" presStyleCnt="3" custScaleY="150000">
        <dgm:presLayoutVars>
          <dgm:bulletEnabled val="1"/>
        </dgm:presLayoutVars>
      </dgm:prSet>
      <dgm:spPr/>
      <dgm:t>
        <a:bodyPr/>
        <a:lstStyle/>
        <a:p>
          <a:endParaRPr lang="fr-FR"/>
        </a:p>
      </dgm:t>
    </dgm:pt>
    <dgm:pt modelId="{D550B743-A532-459B-B7CA-8E4F994E24E1}" type="pres">
      <dgm:prSet presAssocID="{01F56F2C-D879-4418-B2CA-4CD77CAD3331}" presName="accent_2" presStyleCnt="0"/>
      <dgm:spPr/>
    </dgm:pt>
    <dgm:pt modelId="{502E14D5-8F67-4528-B609-D4757E196FED}" type="pres">
      <dgm:prSet presAssocID="{01F56F2C-D879-4418-B2CA-4CD77CAD3331}" presName="accentRepeatNode" presStyleLbl="solidFgAcc1" presStyleIdx="1" presStyleCnt="3"/>
      <dgm:spPr/>
    </dgm:pt>
    <dgm:pt modelId="{FBE1678A-7A40-4221-BB8B-5DC93A7B07F0}" type="pres">
      <dgm:prSet presAssocID="{67E32865-DB29-45E5-BD61-0815DBFBD017}" presName="text_3" presStyleLbl="node1" presStyleIdx="2" presStyleCnt="3" custScaleY="131250">
        <dgm:presLayoutVars>
          <dgm:bulletEnabled val="1"/>
        </dgm:presLayoutVars>
      </dgm:prSet>
      <dgm:spPr/>
    </dgm:pt>
    <dgm:pt modelId="{EB41D368-762B-430C-8611-30888C0FBA62}" type="pres">
      <dgm:prSet presAssocID="{67E32865-DB29-45E5-BD61-0815DBFBD017}" presName="accent_3" presStyleCnt="0"/>
      <dgm:spPr/>
    </dgm:pt>
    <dgm:pt modelId="{E06F1055-4928-40C7-A15E-8743224B9EF7}" type="pres">
      <dgm:prSet presAssocID="{67E32865-DB29-45E5-BD61-0815DBFBD017}" presName="accentRepeatNode" presStyleLbl="solidFgAcc1" presStyleIdx="2" presStyleCnt="3"/>
      <dgm:spPr/>
    </dgm:pt>
  </dgm:ptLst>
  <dgm:cxnLst>
    <dgm:cxn modelId="{6C1EF5CD-34EB-42D1-9C6C-FAA4FE7EDC66}" type="presOf" srcId="{00FDE8AA-41D6-4951-8183-CF5F4C623C56}" destId="{B988C5F4-1616-4955-8B00-93FF2E52ED71}" srcOrd="0" destOrd="0" presId="urn:microsoft.com/office/officeart/2008/layout/VerticalCurvedList"/>
    <dgm:cxn modelId="{0ED6B58D-4502-4F77-9732-96FB790996C1}" type="presOf" srcId="{75344623-6FB4-482E-9982-697E36D80061}" destId="{14638CAF-7A10-489A-9E7E-0DFE0613C473}" srcOrd="0" destOrd="0" presId="urn:microsoft.com/office/officeart/2008/layout/VerticalCurvedList"/>
    <dgm:cxn modelId="{03757DAE-D6D1-4C83-A9A2-B9AB085C5879}" type="presOf" srcId="{01F56F2C-D879-4418-B2CA-4CD77CAD3331}" destId="{76BDF3AE-D68F-40CA-A22C-DD63496FACAE}" srcOrd="0" destOrd="0" presId="urn:microsoft.com/office/officeart/2008/layout/VerticalCurvedList"/>
    <dgm:cxn modelId="{DDD0C4C2-AD0C-45DA-BA4B-7D9D75E91386}" type="presOf" srcId="{67E32865-DB29-45E5-BD61-0815DBFBD017}" destId="{FBE1678A-7A40-4221-BB8B-5DC93A7B07F0}" srcOrd="0" destOrd="0" presId="urn:microsoft.com/office/officeart/2008/layout/VerticalCurvedList"/>
    <dgm:cxn modelId="{24BEF254-B08B-4A15-8F29-21A42414158C}" srcId="{C6096D09-CB8F-46E1-B870-B669F66F50F2}" destId="{01F56F2C-D879-4418-B2CA-4CD77CAD3331}" srcOrd="1" destOrd="0" parTransId="{F528C442-C82B-4339-8168-155D75B56B36}" sibTransId="{9F2CA038-72CF-4F28-9EDF-069C09C7FC56}"/>
    <dgm:cxn modelId="{4481D5B6-A30E-4482-9F20-9A88C4655091}" srcId="{C6096D09-CB8F-46E1-B870-B669F66F50F2}" destId="{67E32865-DB29-45E5-BD61-0815DBFBD017}" srcOrd="2" destOrd="0" parTransId="{2171F0A2-8700-4CD5-B635-427F45D62D82}" sibTransId="{A1B5F83F-801B-4621-9DE9-3F42594F6931}"/>
    <dgm:cxn modelId="{C1E328BC-B73C-444C-B6FF-4F6611DF3874}" srcId="{C6096D09-CB8F-46E1-B870-B669F66F50F2}" destId="{00FDE8AA-41D6-4951-8183-CF5F4C623C56}" srcOrd="0" destOrd="0" parTransId="{7638FBEA-759E-4FF7-8E0C-74267E49F5D2}" sibTransId="{75344623-6FB4-482E-9982-697E36D80061}"/>
    <dgm:cxn modelId="{5A38856C-9BE2-438C-9EEC-68745523A0C3}" type="presOf" srcId="{C6096D09-CB8F-46E1-B870-B669F66F50F2}" destId="{E31111B9-9CE0-48EF-8EA2-122598F8E48C}" srcOrd="0" destOrd="0" presId="urn:microsoft.com/office/officeart/2008/layout/VerticalCurvedList"/>
    <dgm:cxn modelId="{72F88FCE-3D0E-4FC0-9271-320344763C99}" type="presParOf" srcId="{E31111B9-9CE0-48EF-8EA2-122598F8E48C}" destId="{2FF5CB5B-C72D-41BF-951D-5E75FE0EF5F3}" srcOrd="0" destOrd="0" presId="urn:microsoft.com/office/officeart/2008/layout/VerticalCurvedList"/>
    <dgm:cxn modelId="{30AD6958-4A16-42B3-AF70-D63C73B830D1}" type="presParOf" srcId="{2FF5CB5B-C72D-41BF-951D-5E75FE0EF5F3}" destId="{6B242545-0533-4B4D-8DCF-3B78F9529313}" srcOrd="0" destOrd="0" presId="urn:microsoft.com/office/officeart/2008/layout/VerticalCurvedList"/>
    <dgm:cxn modelId="{0F5102A3-D10E-41AB-91E2-EC03BEAEB622}" type="presParOf" srcId="{6B242545-0533-4B4D-8DCF-3B78F9529313}" destId="{8BA706F2-2F88-4252-9208-E73411C5F874}" srcOrd="0" destOrd="0" presId="urn:microsoft.com/office/officeart/2008/layout/VerticalCurvedList"/>
    <dgm:cxn modelId="{EAE8A9DD-5906-4783-8E65-6556A9AC0E99}" type="presParOf" srcId="{6B242545-0533-4B4D-8DCF-3B78F9529313}" destId="{14638CAF-7A10-489A-9E7E-0DFE0613C473}" srcOrd="1" destOrd="0" presId="urn:microsoft.com/office/officeart/2008/layout/VerticalCurvedList"/>
    <dgm:cxn modelId="{CBA3142A-9D07-48F0-AA08-027CF6041AC7}" type="presParOf" srcId="{6B242545-0533-4B4D-8DCF-3B78F9529313}" destId="{C0CBB877-8871-447B-992B-289CEA328BAA}" srcOrd="2" destOrd="0" presId="urn:microsoft.com/office/officeart/2008/layout/VerticalCurvedList"/>
    <dgm:cxn modelId="{C2A98D9B-7FFB-4A22-B162-BE2BC7D8FEDA}" type="presParOf" srcId="{6B242545-0533-4B4D-8DCF-3B78F9529313}" destId="{32B39BC2-AC83-48FD-97BC-D5A57C537873}" srcOrd="3" destOrd="0" presId="urn:microsoft.com/office/officeart/2008/layout/VerticalCurvedList"/>
    <dgm:cxn modelId="{9AA6C4D3-5422-4AC9-A452-8B304C602364}" type="presParOf" srcId="{2FF5CB5B-C72D-41BF-951D-5E75FE0EF5F3}" destId="{B988C5F4-1616-4955-8B00-93FF2E52ED71}" srcOrd="1" destOrd="0" presId="urn:microsoft.com/office/officeart/2008/layout/VerticalCurvedList"/>
    <dgm:cxn modelId="{7386C2AC-B577-4D10-846B-7DF47BD44584}" type="presParOf" srcId="{2FF5CB5B-C72D-41BF-951D-5E75FE0EF5F3}" destId="{0D538389-5A46-4D5A-A923-909EEA974170}" srcOrd="2" destOrd="0" presId="urn:microsoft.com/office/officeart/2008/layout/VerticalCurvedList"/>
    <dgm:cxn modelId="{4B5D043D-836B-4475-90D0-9892C2D14BA8}" type="presParOf" srcId="{0D538389-5A46-4D5A-A923-909EEA974170}" destId="{055EE5AC-0543-43FC-B379-E0C76482982C}" srcOrd="0" destOrd="0" presId="urn:microsoft.com/office/officeart/2008/layout/VerticalCurvedList"/>
    <dgm:cxn modelId="{126F3F83-D38D-4888-8C92-AFF0957EABA7}" type="presParOf" srcId="{2FF5CB5B-C72D-41BF-951D-5E75FE0EF5F3}" destId="{76BDF3AE-D68F-40CA-A22C-DD63496FACAE}" srcOrd="3" destOrd="0" presId="urn:microsoft.com/office/officeart/2008/layout/VerticalCurvedList"/>
    <dgm:cxn modelId="{F7AC5F75-F6AB-442F-B785-F31BB45B9A3D}" type="presParOf" srcId="{2FF5CB5B-C72D-41BF-951D-5E75FE0EF5F3}" destId="{D550B743-A532-459B-B7CA-8E4F994E24E1}" srcOrd="4" destOrd="0" presId="urn:microsoft.com/office/officeart/2008/layout/VerticalCurvedList"/>
    <dgm:cxn modelId="{D2DC4725-B2E0-4974-BDC2-587C6270CD30}" type="presParOf" srcId="{D550B743-A532-459B-B7CA-8E4F994E24E1}" destId="{502E14D5-8F67-4528-B609-D4757E196FED}" srcOrd="0" destOrd="0" presId="urn:microsoft.com/office/officeart/2008/layout/VerticalCurvedList"/>
    <dgm:cxn modelId="{B71F9CE2-3A54-4125-BF2E-6ECFAB627CC4}" type="presParOf" srcId="{2FF5CB5B-C72D-41BF-951D-5E75FE0EF5F3}" destId="{FBE1678A-7A40-4221-BB8B-5DC93A7B07F0}" srcOrd="5" destOrd="0" presId="urn:microsoft.com/office/officeart/2008/layout/VerticalCurvedList"/>
    <dgm:cxn modelId="{88643AA5-F525-49DA-BEC9-509756973042}" type="presParOf" srcId="{2FF5CB5B-C72D-41BF-951D-5E75FE0EF5F3}" destId="{EB41D368-762B-430C-8611-30888C0FBA62}" srcOrd="6" destOrd="0" presId="urn:microsoft.com/office/officeart/2008/layout/VerticalCurvedList"/>
    <dgm:cxn modelId="{57858B9E-4FF7-4E52-B709-FA2EA5EF800E}" type="presParOf" srcId="{EB41D368-762B-430C-8611-30888C0FBA62}" destId="{E06F1055-4928-40C7-A15E-8743224B9EF7}"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638CAF-7A10-489A-9E7E-0DFE0613C473}">
      <dsp:nvSpPr>
        <dsp:cNvPr id="0" name=""/>
        <dsp:cNvSpPr/>
      </dsp:nvSpPr>
      <dsp:spPr>
        <a:xfrm>
          <a:off x="-3444851" y="-529655"/>
          <a:ext cx="4107312" cy="4107312"/>
        </a:xfrm>
        <a:prstGeom prst="blockArc">
          <a:avLst>
            <a:gd name="adj1" fmla="val 18900000"/>
            <a:gd name="adj2" fmla="val 2700000"/>
            <a:gd name="adj3" fmla="val 526"/>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88C5F4-1616-4955-8B00-93FF2E52ED71}">
      <dsp:nvSpPr>
        <dsp:cNvPr id="0" name=""/>
        <dsp:cNvSpPr/>
      </dsp:nvSpPr>
      <dsp:spPr>
        <a:xfrm>
          <a:off x="425984" y="304800"/>
          <a:ext cx="4202125" cy="6096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3870" tIns="25400" rIns="25400" bIns="25400" numCol="1" spcCol="1270" anchor="ctr" anchorCtr="0">
          <a:noAutofit/>
        </a:bodyPr>
        <a:lstStyle/>
        <a:p>
          <a:pPr lvl="0" algn="l" defTabSz="444500">
            <a:lnSpc>
              <a:spcPct val="90000"/>
            </a:lnSpc>
            <a:spcBef>
              <a:spcPct val="0"/>
            </a:spcBef>
            <a:spcAft>
              <a:spcPct val="35000"/>
            </a:spcAft>
          </a:pPr>
          <a:r>
            <a:rPr lang="fr-CA" sz="1000" kern="1200"/>
            <a:t>Senge, P. (2016). </a:t>
          </a:r>
          <a:r>
            <a:rPr lang="fr-CA" sz="1000" i="1" kern="1200"/>
            <a:t>La cinquième discipline: l’innovation collective dans les organisations apprenantes.</a:t>
          </a:r>
          <a:r>
            <a:rPr lang="fr-CA" sz="1000" kern="1200"/>
            <a:t> Paris : Eyrolles (1</a:t>
          </a:r>
          <a:r>
            <a:rPr lang="fr-CA" sz="1000" kern="1200" baseline="30000"/>
            <a:t>re</a:t>
          </a:r>
          <a:r>
            <a:rPr lang="fr-CA" sz="1000" kern="1200"/>
            <a:t> éd. 1990).</a:t>
          </a:r>
        </a:p>
      </dsp:txBody>
      <dsp:txXfrm>
        <a:off x="425984" y="304800"/>
        <a:ext cx="4202125" cy="609600"/>
      </dsp:txXfrm>
    </dsp:sp>
    <dsp:sp modelId="{055EE5AC-0543-43FC-B379-E0C76482982C}">
      <dsp:nvSpPr>
        <dsp:cNvPr id="0" name=""/>
        <dsp:cNvSpPr/>
      </dsp:nvSpPr>
      <dsp:spPr>
        <a:xfrm>
          <a:off x="44984" y="228600"/>
          <a:ext cx="762000" cy="76200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BDF3AE-D68F-40CA-A22C-DD63496FACAE}">
      <dsp:nvSpPr>
        <dsp:cNvPr id="0" name=""/>
        <dsp:cNvSpPr/>
      </dsp:nvSpPr>
      <dsp:spPr>
        <a:xfrm>
          <a:off x="647574" y="1066800"/>
          <a:ext cx="3980535" cy="9144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3870" tIns="25400" rIns="25400" bIns="25400" numCol="1" spcCol="1270" anchor="ctr" anchorCtr="0">
          <a:noAutofit/>
        </a:bodyPr>
        <a:lstStyle/>
        <a:p>
          <a:pPr lvl="0" algn="l" defTabSz="444500">
            <a:lnSpc>
              <a:spcPct val="90000"/>
            </a:lnSpc>
            <a:spcBef>
              <a:spcPct val="0"/>
            </a:spcBef>
            <a:spcAft>
              <a:spcPct val="35000"/>
            </a:spcAft>
          </a:pPr>
          <a:endParaRPr lang="fr-FR" sz="1000" kern="1200"/>
        </a:p>
        <a:p>
          <a:pPr lvl="0" algn="l" defTabSz="444500">
            <a:lnSpc>
              <a:spcPct val="90000"/>
            </a:lnSpc>
            <a:spcBef>
              <a:spcPct val="0"/>
            </a:spcBef>
            <a:spcAft>
              <a:spcPct val="35000"/>
            </a:spcAft>
          </a:pPr>
          <a:r>
            <a:rPr lang="fr-FR" sz="1000" kern="1200"/>
            <a:t>Présentation sur l’échelle d’induction d’Argyris</a:t>
          </a:r>
        </a:p>
        <a:p>
          <a:pPr lvl="0" algn="l" defTabSz="444500">
            <a:lnSpc>
              <a:spcPct val="90000"/>
            </a:lnSpc>
            <a:spcBef>
              <a:spcPct val="0"/>
            </a:spcBef>
            <a:spcAft>
              <a:spcPct val="35000"/>
            </a:spcAft>
          </a:pPr>
          <a:r>
            <a:rPr lang="fr-FR" sz="1000" kern="1200"/>
            <a:t>https://www.youtube.com/watch?v=K9nFhs5W8o8</a:t>
          </a:r>
        </a:p>
        <a:p>
          <a:pPr lvl="0" algn="l" defTabSz="444500">
            <a:lnSpc>
              <a:spcPct val="90000"/>
            </a:lnSpc>
            <a:spcBef>
              <a:spcPct val="0"/>
            </a:spcBef>
            <a:spcAft>
              <a:spcPct val="35000"/>
            </a:spcAft>
          </a:pPr>
          <a:r>
            <a:rPr lang="fr-FR" sz="1000" kern="1200"/>
            <a:t>http://ed.ted.com/lessons/rethinking-thinking-trevor-maber</a:t>
          </a:r>
        </a:p>
        <a:p>
          <a:pPr lvl="0" algn="l" defTabSz="444500">
            <a:lnSpc>
              <a:spcPct val="90000"/>
            </a:lnSpc>
            <a:spcBef>
              <a:spcPct val="0"/>
            </a:spcBef>
            <a:spcAft>
              <a:spcPct val="35000"/>
            </a:spcAft>
          </a:pPr>
          <a:endParaRPr lang="fr-FR" sz="600" kern="1200"/>
        </a:p>
      </dsp:txBody>
      <dsp:txXfrm>
        <a:off x="647574" y="1066800"/>
        <a:ext cx="3980535" cy="914400"/>
      </dsp:txXfrm>
    </dsp:sp>
    <dsp:sp modelId="{502E14D5-8F67-4528-B609-D4757E196FED}">
      <dsp:nvSpPr>
        <dsp:cNvPr id="0" name=""/>
        <dsp:cNvSpPr/>
      </dsp:nvSpPr>
      <dsp:spPr>
        <a:xfrm>
          <a:off x="266574" y="1143000"/>
          <a:ext cx="762000" cy="76200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BE1678A-7A40-4221-BB8B-5DC93A7B07F0}">
      <dsp:nvSpPr>
        <dsp:cNvPr id="0" name=""/>
        <dsp:cNvSpPr/>
      </dsp:nvSpPr>
      <dsp:spPr>
        <a:xfrm>
          <a:off x="425984" y="2038350"/>
          <a:ext cx="4202125" cy="8001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3870" tIns="25400" rIns="25400" bIns="25400" numCol="1" spcCol="1270" anchor="ctr" anchorCtr="0">
          <a:noAutofit/>
        </a:bodyPr>
        <a:lstStyle/>
        <a:p>
          <a:pPr lvl="0" algn="l" defTabSz="444500">
            <a:lnSpc>
              <a:spcPct val="90000"/>
            </a:lnSpc>
            <a:spcBef>
              <a:spcPct val="0"/>
            </a:spcBef>
            <a:spcAft>
              <a:spcPct val="35000"/>
            </a:spcAft>
          </a:pPr>
          <a:r>
            <a:rPr lang="fr-FR" sz="1000" u="none" kern="1200"/>
            <a:t>Scenario Planning : présentation de Adam Kahane</a:t>
          </a:r>
          <a:endParaRPr lang="fr-FR" sz="1000" kern="1200"/>
        </a:p>
        <a:p>
          <a:pPr lvl="0" algn="l" defTabSz="444500">
            <a:lnSpc>
              <a:spcPct val="90000"/>
            </a:lnSpc>
            <a:spcBef>
              <a:spcPct val="0"/>
            </a:spcBef>
            <a:spcAft>
              <a:spcPct val="35000"/>
            </a:spcAft>
          </a:pPr>
          <a:r>
            <a:rPr lang="fr-FR" sz="1000" kern="1200"/>
            <a:t>https://www.youtube.com/watch?v=XiGS9Vq0FGA</a:t>
          </a:r>
        </a:p>
        <a:p>
          <a:pPr lvl="0" algn="l" defTabSz="444500">
            <a:lnSpc>
              <a:spcPct val="90000"/>
            </a:lnSpc>
            <a:spcBef>
              <a:spcPct val="0"/>
            </a:spcBef>
            <a:spcAft>
              <a:spcPct val="35000"/>
            </a:spcAft>
          </a:pPr>
          <a:endParaRPr lang="fr-CA" sz="1000" kern="1200"/>
        </a:p>
      </dsp:txBody>
      <dsp:txXfrm>
        <a:off x="425984" y="2038350"/>
        <a:ext cx="4202125" cy="800100"/>
      </dsp:txXfrm>
    </dsp:sp>
    <dsp:sp modelId="{E06F1055-4928-40C7-A15E-8743224B9EF7}">
      <dsp:nvSpPr>
        <dsp:cNvPr id="0" name=""/>
        <dsp:cNvSpPr/>
      </dsp:nvSpPr>
      <dsp:spPr>
        <a:xfrm>
          <a:off x="44984" y="2057400"/>
          <a:ext cx="762000" cy="76200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Words>
  <Characters>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Fakhouri Rahibe</dc:creator>
  <cp:keywords/>
  <dc:description/>
  <cp:lastModifiedBy>Fakhouri Rahibe</cp:lastModifiedBy>
  <cp:revision>4</cp:revision>
  <dcterms:created xsi:type="dcterms:W3CDTF">2018-12-17T18:53:00Z</dcterms:created>
  <dcterms:modified xsi:type="dcterms:W3CDTF">2018-12-17T19:40:00Z</dcterms:modified>
</cp:coreProperties>
</file>