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30B" w:rsidRDefault="00B4630B" w:rsidP="009170B8">
      <w:pPr>
        <w:rPr>
          <w:b/>
          <w:bCs/>
          <w:color w:val="5B9BD5" w:themeColor="accent1"/>
          <w:sz w:val="28"/>
          <w:szCs w:val="28"/>
        </w:rPr>
      </w:pPr>
      <w:r>
        <w:rPr>
          <w:noProof/>
          <w:lang w:eastAsia="fr-CA"/>
        </w:rPr>
        <mc:AlternateContent>
          <mc:Choice Requires="wpg">
            <w:drawing>
              <wp:anchor distT="0" distB="0" distL="228600" distR="228600" simplePos="0" relativeHeight="251659264" behindDoc="1" locked="0" layoutInCell="1" allowOverlap="1">
                <wp:simplePos x="0" y="0"/>
                <wp:positionH relativeFrom="margin">
                  <wp:align>left</wp:align>
                </wp:positionH>
                <wp:positionV relativeFrom="margin">
                  <wp:posOffset>381000</wp:posOffset>
                </wp:positionV>
                <wp:extent cx="5848350" cy="3762375"/>
                <wp:effectExtent l="0" t="0" r="19050" b="28575"/>
                <wp:wrapSquare wrapText="bothSides"/>
                <wp:docPr id="201" name="Groupe 201"/>
                <wp:cNvGraphicFramePr/>
                <a:graphic xmlns:a="http://schemas.openxmlformats.org/drawingml/2006/main">
                  <a:graphicData uri="http://schemas.microsoft.com/office/word/2010/wordprocessingGroup">
                    <wpg:wgp>
                      <wpg:cNvGrpSpPr/>
                      <wpg:grpSpPr>
                        <a:xfrm>
                          <a:off x="0" y="0"/>
                          <a:ext cx="5848350" cy="3762375"/>
                          <a:chOff x="0" y="0"/>
                          <a:chExt cx="1828800" cy="8192520"/>
                        </a:xfrm>
                      </wpg:grpSpPr>
                      <wps:wsp>
                        <wps:cNvPr id="202" name="Rectangle 202"/>
                        <wps:cNvSpPr/>
                        <wps:spPr>
                          <a:xfrm>
                            <a:off x="0" y="0"/>
                            <a:ext cx="1828800" cy="228600"/>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Rectangle 203"/>
                        <wps:cNvSpPr/>
                        <wps:spPr>
                          <a:xfrm>
                            <a:off x="0" y="1281194"/>
                            <a:ext cx="1828800" cy="6911326"/>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353949" w:rsidRDefault="00F87F79" w:rsidP="00353949">
                              <w:pPr>
                                <w:rPr>
                                  <w:color w:val="FFFFFF" w:themeColor="background1"/>
                                </w:rPr>
                              </w:pPr>
                              <w:r w:rsidRPr="00F87F79">
                                <w:rPr>
                                  <w:color w:val="FFFFFF" w:themeColor="background1"/>
                                </w:rPr>
                                <w:t xml:space="preserve">Cette discipline décrit la capacité d’un individu à être conscient de sa réalité quotidienne, tout en la confrontant de façon constructive à sa vision personnelle dans la vie. Cette continuelle recherche d’équilibre mène à une </w:t>
                              </w:r>
                              <w:r w:rsidRPr="00F87F79">
                                <w:rPr>
                                  <w:i/>
                                  <w:iCs/>
                                  <w:color w:val="FFFFFF" w:themeColor="background1"/>
                                </w:rPr>
                                <w:t xml:space="preserve">tension créatrice, </w:t>
                              </w:r>
                              <w:r w:rsidRPr="00F87F79">
                                <w:rPr>
                                  <w:color w:val="FFFFFF" w:themeColor="background1"/>
                                </w:rPr>
                                <w:t xml:space="preserve">nécessaire pour avancer vers l’atteinte de ses objectifs. </w:t>
                              </w:r>
                            </w:p>
                            <w:p w:rsidR="00353949" w:rsidRDefault="00F87F79" w:rsidP="00353949">
                              <w:pPr>
                                <w:rPr>
                                  <w:color w:val="FFFFFF" w:themeColor="background1"/>
                                </w:rPr>
                              </w:pPr>
                              <w:r w:rsidRPr="00F87F79">
                                <w:rPr>
                                  <w:color w:val="FFFFFF" w:themeColor="background1"/>
                                </w:rPr>
                                <w:t xml:space="preserve">Savoir dégager une vision personnelle claire, ainsi que pouvoir poser un regard lucide sur la réalité sont deux éléments essentiels pour se sentir en contrôle de son évolution personnelle. Ce qui est intéressant dans cette définition de la tension créatrice c’est sa relation avec toute situation d’échec. Selon </w:t>
                              </w:r>
                              <w:proofErr w:type="spellStart"/>
                              <w:r w:rsidRPr="00F87F79">
                                <w:rPr>
                                  <w:color w:val="FFFFFF" w:themeColor="background1"/>
                                </w:rPr>
                                <w:t>Senge</w:t>
                              </w:r>
                              <w:proofErr w:type="spellEnd"/>
                              <w:r w:rsidRPr="00F87F79">
                                <w:rPr>
                                  <w:color w:val="FFFFFF" w:themeColor="background1"/>
                                </w:rPr>
                                <w:t xml:space="preserve"> (2016), cet échec « […] devient un simple écart entre une vision et la réalité, une occasion d’apprendre, de mieux appréhender une situation ou d’affiner une stratégie. » (p.</w:t>
                              </w:r>
                              <w:r w:rsidR="00353949">
                                <w:rPr>
                                  <w:color w:val="FFFFFF" w:themeColor="background1"/>
                                </w:rPr>
                                <w:t>149)</w:t>
                              </w:r>
                              <w:r w:rsidRPr="00F87F79">
                                <w:rPr>
                                  <w:color w:val="FFFFFF" w:themeColor="background1"/>
                                </w:rPr>
                                <w:t>.</w:t>
                              </w:r>
                            </w:p>
                            <w:p w:rsidR="00F87F79" w:rsidRPr="00F87F79" w:rsidRDefault="00F87F79" w:rsidP="008337D7">
                              <w:pPr>
                                <w:rPr>
                                  <w:i/>
                                  <w:iCs/>
                                  <w:color w:val="FFFFFF" w:themeColor="background1"/>
                                </w:rPr>
                              </w:pPr>
                              <w:r w:rsidRPr="00F87F79">
                                <w:rPr>
                                  <w:color w:val="FFFFFF" w:themeColor="background1"/>
                                </w:rPr>
                                <w:t xml:space="preserve"> Articulée à l’autre système qui compose la maitrise personnelle, on découvre le conflit structurel: Il s’agit de l’ensemble des forces négatives et contradictoires qui nous empêchent quelques fois d’atteindre nos objectifs. Pour le</w:t>
                              </w:r>
                              <w:r w:rsidR="008337D7">
                                <w:rPr>
                                  <w:color w:val="FFFFFF" w:themeColor="background1"/>
                                </w:rPr>
                                <w:t xml:space="preserve"> surmonter, </w:t>
                              </w:r>
                              <w:proofErr w:type="spellStart"/>
                              <w:r w:rsidR="008337D7">
                                <w:rPr>
                                  <w:color w:val="FFFFFF" w:themeColor="background1"/>
                                </w:rPr>
                                <w:t>Senge</w:t>
                              </w:r>
                              <w:proofErr w:type="spellEnd"/>
                              <w:r w:rsidR="008337D7">
                                <w:rPr>
                                  <w:color w:val="FFFFFF" w:themeColor="background1"/>
                                </w:rPr>
                                <w:t xml:space="preserve"> (2016) décrit </w:t>
                              </w:r>
                              <w:bookmarkStart w:id="0" w:name="_GoBack"/>
                              <w:bookmarkEnd w:id="0"/>
                              <w:r w:rsidRPr="00F87F79">
                                <w:rPr>
                                  <w:color w:val="FFFFFF" w:themeColor="background1"/>
                                </w:rPr>
                                <w:t xml:space="preserve">des stratégies qui se basent sur </w:t>
                              </w:r>
                              <w:r w:rsidRPr="00F87F79">
                                <w:rPr>
                                  <w:i/>
                                  <w:iCs/>
                                  <w:color w:val="FFFFFF" w:themeColor="background1"/>
                                </w:rPr>
                                <w:t>la recherche de la vérité</w:t>
                              </w:r>
                              <w:r w:rsidRPr="00F87F79">
                                <w:rPr>
                                  <w:color w:val="FFFFFF" w:themeColor="background1"/>
                                </w:rPr>
                                <w:t xml:space="preserve"> et </w:t>
                              </w:r>
                              <w:r w:rsidRPr="00F87F79">
                                <w:rPr>
                                  <w:i/>
                                  <w:iCs/>
                                  <w:color w:val="FFFFFF" w:themeColor="background1"/>
                                </w:rPr>
                                <w:t xml:space="preserve">l’utilisation du subconscient.  </w:t>
                              </w:r>
                            </w:p>
                            <w:p w:rsidR="006D5FEF" w:rsidRDefault="006D5FEF" w:rsidP="009A7C18">
                              <w:pPr>
                                <w:rPr>
                                  <w:color w:val="FFFFFF" w:themeColor="background1"/>
                                </w:rPr>
                              </w:pPr>
                            </w:p>
                          </w:txbxContent>
                        </wps:txbx>
                        <wps:bodyPr rot="0" spcFirstLastPara="0" vertOverflow="overflow" horzOverflow="overflow" vert="horz" wrap="square" lIns="91440" tIns="182880" rIns="109728" bIns="228600" numCol="1" spcCol="0" rtlCol="0" fromWordArt="0" anchor="t" anchorCtr="0" forceAA="0" compatLnSpc="1">
                          <a:prstTxWarp prst="textNoShape">
                            <a:avLst/>
                          </a:prstTxWarp>
                          <a:noAutofit/>
                        </wps:bodyPr>
                      </wps:wsp>
                      <wps:wsp>
                        <wps:cNvPr id="204" name="Zone de texte 204"/>
                        <wps:cNvSpPr txBox="1"/>
                        <wps:spPr>
                          <a:xfrm>
                            <a:off x="0" y="231820"/>
                            <a:ext cx="1828800" cy="929652"/>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rsidR="006D5FEF" w:rsidRPr="00B4630B" w:rsidRDefault="006D5FEF" w:rsidP="006D5FEF">
                              <w:pPr>
                                <w:pStyle w:val="Sansinterligne"/>
                                <w:jc w:val="center"/>
                                <w:rPr>
                                  <w:rFonts w:asciiTheme="majorHAnsi" w:eastAsiaTheme="majorEastAsia" w:hAnsiTheme="majorHAnsi" w:cstheme="majorBidi"/>
                                  <w:b/>
                                  <w:bCs/>
                                  <w:caps/>
                                  <w:color w:val="FFFFFF" w:themeColor="background1"/>
                                  <w:sz w:val="28"/>
                                  <w:szCs w:val="28"/>
                                </w:rPr>
                              </w:pPr>
                              <w:r w:rsidRPr="00B4630B">
                                <w:rPr>
                                  <w:rFonts w:asciiTheme="majorHAnsi" w:eastAsiaTheme="majorEastAsia" w:hAnsiTheme="majorHAnsi" w:cstheme="majorBidi"/>
                                  <w:b/>
                                  <w:bCs/>
                                  <w:caps/>
                                  <w:color w:val="FFFFFF" w:themeColor="background1"/>
                                  <w:sz w:val="28"/>
                                  <w:szCs w:val="28"/>
                                </w:rPr>
                                <w:t>Définition</w:t>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e 201" o:spid="_x0000_s1026" style="position:absolute;margin-left:0;margin-top:30pt;width:460.5pt;height:296.25pt;z-index:-251657216;mso-wrap-distance-left:18pt;mso-wrap-distance-right:18pt;mso-position-horizontal:left;mso-position-horizontal-relative:margin;mso-position-vertical-relative:margin;mso-width-relative:margin;mso-height-relative:margin" coordsize="18288,8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">
                <v:rect id="Rectangle 202" o:spid="_x0000_s1027" style="position:absolute;width:18288;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" fillcolor="#5b9bd5 [3204]" strokecolor="#1f4d78 [1604]" strokeweight="1pt"/>
                <v:rect id="Rectangle 203" o:spid="_x0000_s1028" style="position:absolute;top:12811;width:18288;height:69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" fillcolor="#5b9bd5 [3204]" strokecolor="#1f4d78 [1604]" strokeweight="1pt">
                  <v:textbox inset=",14.4pt,8.64pt,18pt">
                    <w:txbxContent>
                      <w:p w:rsidR="00353949" w:rsidRDefault="00F87F79" w:rsidP="00353949">
                        <w:pPr>
                          <w:rPr>
                            <w:color w:val="FFFFFF" w:themeColor="background1"/>
                          </w:rPr>
                        </w:pPr>
                        <w:r w:rsidRPr="00F87F79">
                          <w:rPr>
                            <w:color w:val="FFFFFF" w:themeColor="background1"/>
                          </w:rPr>
                          <w:t xml:space="preserve">Cette discipline décrit la capacité d’un individu à être conscient de sa réalité quotidienne, tout en la confrontant de façon constructive à sa vision personnelle dans la vie. Cette continuelle recherche d’équilibre mène à une </w:t>
                        </w:r>
                        <w:r w:rsidRPr="00F87F79">
                          <w:rPr>
                            <w:i/>
                            <w:iCs/>
                            <w:color w:val="FFFFFF" w:themeColor="background1"/>
                          </w:rPr>
                          <w:t xml:space="preserve">tension créatrice, </w:t>
                        </w:r>
                        <w:r w:rsidRPr="00F87F79">
                          <w:rPr>
                            <w:color w:val="FFFFFF" w:themeColor="background1"/>
                          </w:rPr>
                          <w:t xml:space="preserve">nécessaire pour avancer vers l’atteinte de ses objectifs. </w:t>
                        </w:r>
                      </w:p>
                      <w:p w:rsidR="00353949" w:rsidRDefault="00F87F79" w:rsidP="00353949">
                        <w:pPr>
                          <w:rPr>
                            <w:color w:val="FFFFFF" w:themeColor="background1"/>
                          </w:rPr>
                        </w:pPr>
                        <w:r w:rsidRPr="00F87F79">
                          <w:rPr>
                            <w:color w:val="FFFFFF" w:themeColor="background1"/>
                          </w:rPr>
                          <w:t xml:space="preserve">Savoir dégager une vision personnelle claire, ainsi que pouvoir poser un regard lucide sur la réalité sont deux éléments essentiels pour se sentir en contrôle de son évolution personnelle. Ce qui est intéressant dans cette définition de la tension créatrice c’est sa relation avec toute situation d’échec. Selon </w:t>
                        </w:r>
                        <w:proofErr w:type="spellStart"/>
                        <w:r w:rsidRPr="00F87F79">
                          <w:rPr>
                            <w:color w:val="FFFFFF" w:themeColor="background1"/>
                          </w:rPr>
                          <w:t>Senge</w:t>
                        </w:r>
                        <w:proofErr w:type="spellEnd"/>
                        <w:r w:rsidRPr="00F87F79">
                          <w:rPr>
                            <w:color w:val="FFFFFF" w:themeColor="background1"/>
                          </w:rPr>
                          <w:t xml:space="preserve"> (2016), cet échec « […] devient un simple écart entre une vision et la réalité, une occasion d’apprendre, de mieux appréhender une situation ou d’affiner une stratégie. » (p.</w:t>
                        </w:r>
                        <w:r w:rsidR="00353949">
                          <w:rPr>
                            <w:color w:val="FFFFFF" w:themeColor="background1"/>
                          </w:rPr>
                          <w:t>149)</w:t>
                        </w:r>
                        <w:r w:rsidRPr="00F87F79">
                          <w:rPr>
                            <w:color w:val="FFFFFF" w:themeColor="background1"/>
                          </w:rPr>
                          <w:t>.</w:t>
                        </w:r>
                      </w:p>
                      <w:p w:rsidR="00F87F79" w:rsidRPr="00F87F79" w:rsidRDefault="00F87F79" w:rsidP="008337D7">
                        <w:pPr>
                          <w:rPr>
                            <w:i/>
                            <w:iCs/>
                            <w:color w:val="FFFFFF" w:themeColor="background1"/>
                          </w:rPr>
                        </w:pPr>
                        <w:r w:rsidRPr="00F87F79">
                          <w:rPr>
                            <w:color w:val="FFFFFF" w:themeColor="background1"/>
                          </w:rPr>
                          <w:t xml:space="preserve"> Articulée à l’autre système qui compose la maitrise personnelle, on découvre le conflit structurel: Il s’agit de l’ensemble des forces négatives et contradictoires qui nous empêchent quelques fois d’atteindre nos objectifs. Pour le</w:t>
                        </w:r>
                        <w:r w:rsidR="008337D7">
                          <w:rPr>
                            <w:color w:val="FFFFFF" w:themeColor="background1"/>
                          </w:rPr>
                          <w:t xml:space="preserve"> surmonter, </w:t>
                        </w:r>
                        <w:proofErr w:type="spellStart"/>
                        <w:r w:rsidR="008337D7">
                          <w:rPr>
                            <w:color w:val="FFFFFF" w:themeColor="background1"/>
                          </w:rPr>
                          <w:t>Senge</w:t>
                        </w:r>
                        <w:proofErr w:type="spellEnd"/>
                        <w:r w:rsidR="008337D7">
                          <w:rPr>
                            <w:color w:val="FFFFFF" w:themeColor="background1"/>
                          </w:rPr>
                          <w:t xml:space="preserve"> (2016) décrit </w:t>
                        </w:r>
                        <w:bookmarkStart w:id="1" w:name="_GoBack"/>
                        <w:bookmarkEnd w:id="1"/>
                        <w:r w:rsidRPr="00F87F79">
                          <w:rPr>
                            <w:color w:val="FFFFFF" w:themeColor="background1"/>
                          </w:rPr>
                          <w:t xml:space="preserve">des stratégies qui se basent sur </w:t>
                        </w:r>
                        <w:r w:rsidRPr="00F87F79">
                          <w:rPr>
                            <w:i/>
                            <w:iCs/>
                            <w:color w:val="FFFFFF" w:themeColor="background1"/>
                          </w:rPr>
                          <w:t>la recherche de la vérité</w:t>
                        </w:r>
                        <w:r w:rsidRPr="00F87F79">
                          <w:rPr>
                            <w:color w:val="FFFFFF" w:themeColor="background1"/>
                          </w:rPr>
                          <w:t xml:space="preserve"> et </w:t>
                        </w:r>
                        <w:r w:rsidRPr="00F87F79">
                          <w:rPr>
                            <w:i/>
                            <w:iCs/>
                            <w:color w:val="FFFFFF" w:themeColor="background1"/>
                          </w:rPr>
                          <w:t xml:space="preserve">l’utilisation du subconscient.  </w:t>
                        </w:r>
                      </w:p>
                      <w:p w:rsidR="006D5FEF" w:rsidRDefault="006D5FEF" w:rsidP="009A7C18">
                        <w:pPr>
                          <w:rPr>
                            <w:color w:val="FFFFFF" w:themeColor="background1"/>
                          </w:rPr>
                        </w:pPr>
                      </w:p>
                    </w:txbxContent>
                  </v:textbox>
                </v:rect>
                <v:shapetype id="_x0000_t202" coordsize="21600,21600" o:spt="202" path="m,l,21600r21600,l21600,xe">
                  <v:stroke joinstyle="miter"/>
                  <v:path gradientshapeok="t" o:connecttype="rect"/>
                </v:shapetype>
                <v:shape id="Zone de texte 204" o:spid="_x0000_s1029" type="#_x0000_t202" style="position:absolute;top:2318;width:18288;height:92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" fillcolor="#5b9bd5 [3204]" strokecolor="#1f4d78 [1604]" strokeweight="1pt">
                  <v:textbox inset=",7.2pt,,7.2pt">
                    <w:txbxContent>
                      <w:p w:rsidR="006D5FEF" w:rsidRPr="00B4630B" w:rsidRDefault="006D5FEF" w:rsidP="006D5FEF">
                        <w:pPr>
                          <w:pStyle w:val="Sansinterligne"/>
                          <w:jc w:val="center"/>
                          <w:rPr>
                            <w:rFonts w:asciiTheme="majorHAnsi" w:eastAsiaTheme="majorEastAsia" w:hAnsiTheme="majorHAnsi" w:cstheme="majorBidi"/>
                            <w:b/>
                            <w:bCs/>
                            <w:caps/>
                            <w:color w:val="FFFFFF" w:themeColor="background1"/>
                            <w:sz w:val="28"/>
                            <w:szCs w:val="28"/>
                          </w:rPr>
                        </w:pPr>
                        <w:r w:rsidRPr="00B4630B">
                          <w:rPr>
                            <w:rFonts w:asciiTheme="majorHAnsi" w:eastAsiaTheme="majorEastAsia" w:hAnsiTheme="majorHAnsi" w:cstheme="majorBidi"/>
                            <w:b/>
                            <w:bCs/>
                            <w:caps/>
                            <w:color w:val="FFFFFF" w:themeColor="background1"/>
                            <w:sz w:val="28"/>
                            <w:szCs w:val="28"/>
                          </w:rPr>
                          <w:t>Définition</w:t>
                        </w:r>
                      </w:p>
                    </w:txbxContent>
                  </v:textbox>
                </v:shape>
                <w10:wrap type="square" anchorx="margin" anchory="margin"/>
              </v:group>
            </w:pict>
          </mc:Fallback>
        </mc:AlternateContent>
      </w:r>
    </w:p>
    <w:p w:rsidR="009170B8" w:rsidRDefault="009170B8" w:rsidP="00B4630B">
      <w:pPr>
        <w:jc w:val="center"/>
        <w:rPr>
          <w:b/>
          <w:bCs/>
          <w:color w:val="5B9BD5" w:themeColor="accent1"/>
          <w:sz w:val="28"/>
          <w:szCs w:val="28"/>
        </w:rPr>
      </w:pPr>
    </w:p>
    <w:p w:rsidR="006D5FEF" w:rsidRPr="00B4630B" w:rsidRDefault="006D5FEF" w:rsidP="00B4630B">
      <w:pPr>
        <w:jc w:val="center"/>
        <w:rPr>
          <w:b/>
          <w:bCs/>
          <w:color w:val="5B9BD5" w:themeColor="accent1"/>
          <w:sz w:val="28"/>
          <w:szCs w:val="28"/>
        </w:rPr>
      </w:pPr>
      <w:r w:rsidRPr="00B4630B">
        <w:rPr>
          <w:b/>
          <w:bCs/>
          <w:color w:val="5B9BD5" w:themeColor="accent1"/>
          <w:sz w:val="28"/>
          <w:szCs w:val="28"/>
        </w:rPr>
        <w:t>RESSOURCES</w:t>
      </w:r>
    </w:p>
    <w:p w:rsidR="00F87F79" w:rsidRDefault="00353949" w:rsidP="00F87F79">
      <w:r>
        <w:rPr>
          <w:noProof/>
          <w:lang w:eastAsia="fr-CA"/>
        </w:rPr>
        <w:drawing>
          <wp:anchor distT="0" distB="0" distL="114300" distR="114300" simplePos="0" relativeHeight="251660288" behindDoc="0" locked="0" layoutInCell="1" allowOverlap="1">
            <wp:simplePos x="0" y="0"/>
            <wp:positionH relativeFrom="column">
              <wp:posOffset>447675</wp:posOffset>
            </wp:positionH>
            <wp:positionV relativeFrom="paragraph">
              <wp:posOffset>38735</wp:posOffset>
            </wp:positionV>
            <wp:extent cx="5257800" cy="2876550"/>
            <wp:effectExtent l="0" t="0" r="0" b="0"/>
            <wp:wrapSquare wrapText="bothSides"/>
            <wp:docPr id="3" name="Diagramme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r w:rsidR="009170B8">
        <w:br w:type="textWrapping" w:clear="all"/>
      </w:r>
      <w:r w:rsidR="00F87F79">
        <w:t>Fakhouri, R. B., 2018</w:t>
      </w:r>
    </w:p>
    <w:sectPr w:rsidR="00F87F79">
      <w:headerReference w:type="defaul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08D" w:rsidRDefault="00B1508D" w:rsidP="006D5FEF">
      <w:pPr>
        <w:spacing w:after="0" w:line="240" w:lineRule="auto"/>
      </w:pPr>
      <w:r>
        <w:separator/>
      </w:r>
    </w:p>
  </w:endnote>
  <w:endnote w:type="continuationSeparator" w:id="0">
    <w:p w:rsidR="00B1508D" w:rsidRDefault="00B1508D" w:rsidP="006D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08D" w:rsidRDefault="00B1508D" w:rsidP="006D5FEF">
      <w:pPr>
        <w:spacing w:after="0" w:line="240" w:lineRule="auto"/>
      </w:pPr>
      <w:r>
        <w:separator/>
      </w:r>
    </w:p>
  </w:footnote>
  <w:footnote w:type="continuationSeparator" w:id="0">
    <w:p w:rsidR="00B1508D" w:rsidRDefault="00B1508D" w:rsidP="006D5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5FEF" w:rsidRPr="008E324E" w:rsidRDefault="006D5FEF" w:rsidP="00700B71">
    <w:pPr>
      <w:pStyle w:val="En-tte"/>
      <w:jc w:val="center"/>
      <w:rPr>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E324E">
      <w:rPr>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ORGANISATION APPRENANTE</w:t>
    </w:r>
  </w:p>
  <w:p w:rsidR="00B4630B" w:rsidRPr="008E324E" w:rsidRDefault="00F87F79" w:rsidP="00F87F79">
    <w:pPr>
      <w:pStyle w:val="En-tte"/>
      <w:jc w:val="center"/>
      <w:rPr>
        <w:b/>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Cs/>
        <w:color w:val="5B9BD5" w:themeColor="accent1"/>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Maitrise personnelle</w:t>
    </w:r>
  </w:p>
  <w:p w:rsidR="006D5FEF" w:rsidRPr="00700B71" w:rsidRDefault="006D5FEF" w:rsidP="00700B71">
    <w:pPr>
      <w:pStyle w:val="En-tte"/>
      <w:jc w:val="center"/>
      <w:rPr>
        <w:b/>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6441E0"/>
    <w:multiLevelType w:val="hybridMultilevel"/>
    <w:tmpl w:val="E99477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667"/>
    <w:rsid w:val="00085EB8"/>
    <w:rsid w:val="00353949"/>
    <w:rsid w:val="004F172A"/>
    <w:rsid w:val="005851B2"/>
    <w:rsid w:val="006D5FEF"/>
    <w:rsid w:val="00700B71"/>
    <w:rsid w:val="008337D7"/>
    <w:rsid w:val="008E0B52"/>
    <w:rsid w:val="008E324E"/>
    <w:rsid w:val="009170B8"/>
    <w:rsid w:val="009A7C18"/>
    <w:rsid w:val="00AA27E2"/>
    <w:rsid w:val="00B1508D"/>
    <w:rsid w:val="00B4630B"/>
    <w:rsid w:val="00E15667"/>
    <w:rsid w:val="00F87F79"/>
  </w:rsids>
  <m:mathPr>
    <m:mathFont m:val="Cambria Math"/>
    <m:brkBin m:val="before"/>
    <m:brkBinSub m:val="--"/>
    <m:smallFrac m:val="0"/>
    <m:dispDef/>
    <m:lMargin m:val="0"/>
    <m:rMargin m:val="0"/>
    <m:defJc m:val="centerGroup"/>
    <m:wrapIndent m:val="1440"/>
    <m:intLim m:val="subSup"/>
    <m:naryLim m:val="undOvr"/>
  </m:mathPr>
  <w:themeFontLang w:val="fr-CA"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9E9673"/>
  <w15:chartTrackingRefBased/>
  <w15:docId w15:val="{BEFBCF3F-FB6E-4E2F-9D97-60B703102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D5FEF"/>
    <w:pPr>
      <w:spacing w:after="0" w:line="240" w:lineRule="auto"/>
    </w:pPr>
    <w:rPr>
      <w:rFonts w:eastAsiaTheme="minorEastAsia"/>
      <w:lang w:eastAsia="fr-CA"/>
    </w:rPr>
  </w:style>
  <w:style w:type="character" w:customStyle="1" w:styleId="SansinterligneCar">
    <w:name w:val="Sans interligne Car"/>
    <w:basedOn w:val="Policepardfaut"/>
    <w:link w:val="Sansinterligne"/>
    <w:uiPriority w:val="1"/>
    <w:rsid w:val="006D5FEF"/>
    <w:rPr>
      <w:rFonts w:eastAsiaTheme="minorEastAsia"/>
      <w:lang w:eastAsia="fr-CA"/>
    </w:rPr>
  </w:style>
  <w:style w:type="paragraph" w:styleId="En-tte">
    <w:name w:val="header"/>
    <w:basedOn w:val="Normal"/>
    <w:link w:val="En-tteCar"/>
    <w:uiPriority w:val="99"/>
    <w:unhideWhenUsed/>
    <w:rsid w:val="006D5FEF"/>
    <w:pPr>
      <w:tabs>
        <w:tab w:val="center" w:pos="4320"/>
        <w:tab w:val="right" w:pos="8640"/>
      </w:tabs>
      <w:spacing w:after="0" w:line="240" w:lineRule="auto"/>
    </w:pPr>
  </w:style>
  <w:style w:type="character" w:customStyle="1" w:styleId="En-tteCar">
    <w:name w:val="En-tête Car"/>
    <w:basedOn w:val="Policepardfaut"/>
    <w:link w:val="En-tte"/>
    <w:uiPriority w:val="99"/>
    <w:rsid w:val="006D5FEF"/>
  </w:style>
  <w:style w:type="paragraph" w:styleId="Pieddepage">
    <w:name w:val="footer"/>
    <w:basedOn w:val="Normal"/>
    <w:link w:val="PieddepageCar"/>
    <w:uiPriority w:val="99"/>
    <w:unhideWhenUsed/>
    <w:rsid w:val="006D5FEF"/>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D5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6096D09-CB8F-46E1-B870-B669F66F50F2}" type="doc">
      <dgm:prSet loTypeId="urn:microsoft.com/office/officeart/2008/layout/VerticalCurvedList" loCatId="list" qsTypeId="urn:microsoft.com/office/officeart/2005/8/quickstyle/simple1" qsCatId="simple" csTypeId="urn:microsoft.com/office/officeart/2005/8/colors/accent1_1" csCatId="accent1" phldr="1"/>
      <dgm:spPr/>
      <dgm:t>
        <a:bodyPr/>
        <a:lstStyle/>
        <a:p>
          <a:endParaRPr lang="fr-FR"/>
        </a:p>
      </dgm:t>
    </dgm:pt>
    <dgm:pt modelId="{00FDE8AA-41D6-4951-8183-CF5F4C623C56}">
      <dgm:prSet custT="1"/>
      <dgm:spPr/>
      <dgm:t>
        <a:bodyPr/>
        <a:lstStyle/>
        <a:p>
          <a:r>
            <a:rPr lang="fr-CA" sz="1050"/>
            <a:t>Senge, P. (2016). </a:t>
          </a:r>
          <a:r>
            <a:rPr lang="fr-CA" sz="1050" i="1"/>
            <a:t>La cinquième discipline: l’innovation collective dans les organisations apprenantes.</a:t>
          </a:r>
          <a:r>
            <a:rPr lang="fr-CA" sz="1050"/>
            <a:t> Paris : Eyrolles (1</a:t>
          </a:r>
          <a:r>
            <a:rPr lang="fr-CA" sz="1050" baseline="30000"/>
            <a:t>re</a:t>
          </a:r>
          <a:r>
            <a:rPr lang="fr-CA" sz="1050"/>
            <a:t> éd. 1990).</a:t>
          </a:r>
        </a:p>
      </dgm:t>
    </dgm:pt>
    <dgm:pt modelId="{7638FBEA-759E-4FF7-8E0C-74267E49F5D2}" type="parTrans" cxnId="{C1E328BC-B73C-444C-B6FF-4F6611DF3874}">
      <dgm:prSet/>
      <dgm:spPr/>
      <dgm:t>
        <a:bodyPr/>
        <a:lstStyle/>
        <a:p>
          <a:endParaRPr lang="fr-FR"/>
        </a:p>
      </dgm:t>
    </dgm:pt>
    <dgm:pt modelId="{75344623-6FB4-482E-9982-697E36D80061}" type="sibTrans" cxnId="{C1E328BC-B73C-444C-B6FF-4F6611DF3874}">
      <dgm:prSet/>
      <dgm:spPr/>
      <dgm:t>
        <a:bodyPr/>
        <a:lstStyle/>
        <a:p>
          <a:endParaRPr lang="fr-FR"/>
        </a:p>
      </dgm:t>
    </dgm:pt>
    <dgm:pt modelId="{354B9E6E-BCD6-458D-80D7-937383CB23A1}">
      <dgm:prSet/>
      <dgm:spPr/>
      <dgm:t>
        <a:bodyPr/>
        <a:lstStyle/>
        <a:p>
          <a:r>
            <a:rPr lang="fr-FR" u="none"/>
            <a:t>Dialogue Interviews</a:t>
          </a:r>
        </a:p>
        <a:p>
          <a:r>
            <a:rPr lang="fr-FR"/>
            <a:t>https://www.presencing.org/tools/sensing-journeys-0#/resource/tools/dialogue-interview-desc</a:t>
          </a:r>
          <a:endParaRPr lang="fr-CA"/>
        </a:p>
      </dgm:t>
    </dgm:pt>
    <dgm:pt modelId="{51776E16-79B5-4C43-B33D-0102F99AAE7C}" type="parTrans" cxnId="{802ADEA0-FE2C-4444-8E11-C7C070288A5F}">
      <dgm:prSet/>
      <dgm:spPr/>
      <dgm:t>
        <a:bodyPr/>
        <a:lstStyle/>
        <a:p>
          <a:endParaRPr lang="fr-FR"/>
        </a:p>
      </dgm:t>
    </dgm:pt>
    <dgm:pt modelId="{BA5835A9-A2B2-4F2F-A405-1D5D7D09706A}" type="sibTrans" cxnId="{802ADEA0-FE2C-4444-8E11-C7C070288A5F}">
      <dgm:prSet/>
      <dgm:spPr/>
      <dgm:t>
        <a:bodyPr/>
        <a:lstStyle/>
        <a:p>
          <a:endParaRPr lang="fr-FR"/>
        </a:p>
      </dgm:t>
    </dgm:pt>
    <dgm:pt modelId="{8614F866-EFAD-4684-AE90-FCC7066E3F41}">
      <dgm:prSet custT="1"/>
      <dgm:spPr/>
      <dgm:t>
        <a:bodyPr/>
        <a:lstStyle/>
        <a:p>
          <a:r>
            <a:rPr lang="fr-FR" sz="1050"/>
            <a:t>Message de Steve Job aux diplômés de Stanford « Stay hungry, stay foolish » https://www.ted.com/talks/steve_jobs_how_to_live_before_you_die</a:t>
          </a:r>
          <a:endParaRPr lang="fr-CA" sz="1050"/>
        </a:p>
      </dgm:t>
    </dgm:pt>
    <dgm:pt modelId="{57AB04BE-A17D-4EAC-B232-EF34A78D551E}" type="parTrans" cxnId="{57AF71DD-7ECF-456A-A3FD-A716327F0FF4}">
      <dgm:prSet/>
      <dgm:spPr/>
      <dgm:t>
        <a:bodyPr/>
        <a:lstStyle/>
        <a:p>
          <a:endParaRPr lang="fr-FR"/>
        </a:p>
      </dgm:t>
    </dgm:pt>
    <dgm:pt modelId="{A21D2983-6061-4728-9EEB-D1F1C18CC8B0}" type="sibTrans" cxnId="{57AF71DD-7ECF-456A-A3FD-A716327F0FF4}">
      <dgm:prSet/>
      <dgm:spPr/>
      <dgm:t>
        <a:bodyPr/>
        <a:lstStyle/>
        <a:p>
          <a:endParaRPr lang="fr-FR"/>
        </a:p>
      </dgm:t>
    </dgm:pt>
    <dgm:pt modelId="{E31111B9-9CE0-48EF-8EA2-122598F8E48C}" type="pres">
      <dgm:prSet presAssocID="{C6096D09-CB8F-46E1-B870-B669F66F50F2}" presName="Name0" presStyleCnt="0">
        <dgm:presLayoutVars>
          <dgm:chMax val="7"/>
          <dgm:chPref val="7"/>
          <dgm:dir/>
        </dgm:presLayoutVars>
      </dgm:prSet>
      <dgm:spPr/>
      <dgm:t>
        <a:bodyPr/>
        <a:lstStyle/>
        <a:p>
          <a:endParaRPr lang="fr-FR"/>
        </a:p>
      </dgm:t>
    </dgm:pt>
    <dgm:pt modelId="{2FF5CB5B-C72D-41BF-951D-5E75FE0EF5F3}" type="pres">
      <dgm:prSet presAssocID="{C6096D09-CB8F-46E1-B870-B669F66F50F2}" presName="Name1" presStyleCnt="0"/>
      <dgm:spPr/>
    </dgm:pt>
    <dgm:pt modelId="{6B242545-0533-4B4D-8DCF-3B78F9529313}" type="pres">
      <dgm:prSet presAssocID="{C6096D09-CB8F-46E1-B870-B669F66F50F2}" presName="cycle" presStyleCnt="0"/>
      <dgm:spPr/>
    </dgm:pt>
    <dgm:pt modelId="{8BA706F2-2F88-4252-9208-E73411C5F874}" type="pres">
      <dgm:prSet presAssocID="{C6096D09-CB8F-46E1-B870-B669F66F50F2}" presName="srcNode" presStyleLbl="node1" presStyleIdx="0" presStyleCnt="3"/>
      <dgm:spPr/>
    </dgm:pt>
    <dgm:pt modelId="{14638CAF-7A10-489A-9E7E-0DFE0613C473}" type="pres">
      <dgm:prSet presAssocID="{C6096D09-CB8F-46E1-B870-B669F66F50F2}" presName="conn" presStyleLbl="parChTrans1D2" presStyleIdx="0" presStyleCnt="1"/>
      <dgm:spPr/>
      <dgm:t>
        <a:bodyPr/>
        <a:lstStyle/>
        <a:p>
          <a:endParaRPr lang="fr-FR"/>
        </a:p>
      </dgm:t>
    </dgm:pt>
    <dgm:pt modelId="{C0CBB877-8871-447B-992B-289CEA328BAA}" type="pres">
      <dgm:prSet presAssocID="{C6096D09-CB8F-46E1-B870-B669F66F50F2}" presName="extraNode" presStyleLbl="node1" presStyleIdx="0" presStyleCnt="3"/>
      <dgm:spPr/>
    </dgm:pt>
    <dgm:pt modelId="{32B39BC2-AC83-48FD-97BC-D5A57C537873}" type="pres">
      <dgm:prSet presAssocID="{C6096D09-CB8F-46E1-B870-B669F66F50F2}" presName="dstNode" presStyleLbl="node1" presStyleIdx="0" presStyleCnt="3"/>
      <dgm:spPr/>
    </dgm:pt>
    <dgm:pt modelId="{B988C5F4-1616-4955-8B00-93FF2E52ED71}" type="pres">
      <dgm:prSet presAssocID="{00FDE8AA-41D6-4951-8183-CF5F4C623C56}" presName="text_1" presStyleLbl="node1" presStyleIdx="0" presStyleCnt="3">
        <dgm:presLayoutVars>
          <dgm:bulletEnabled val="1"/>
        </dgm:presLayoutVars>
      </dgm:prSet>
      <dgm:spPr/>
      <dgm:t>
        <a:bodyPr/>
        <a:lstStyle/>
        <a:p>
          <a:endParaRPr lang="fr-FR"/>
        </a:p>
      </dgm:t>
    </dgm:pt>
    <dgm:pt modelId="{0D538389-5A46-4D5A-A923-909EEA974170}" type="pres">
      <dgm:prSet presAssocID="{00FDE8AA-41D6-4951-8183-CF5F4C623C56}" presName="accent_1" presStyleCnt="0"/>
      <dgm:spPr/>
    </dgm:pt>
    <dgm:pt modelId="{055EE5AC-0543-43FC-B379-E0C76482982C}" type="pres">
      <dgm:prSet presAssocID="{00FDE8AA-41D6-4951-8183-CF5F4C623C56}" presName="accentRepeatNode" presStyleLbl="solidFgAcc1" presStyleIdx="0" presStyleCnt="3"/>
      <dgm:spPr/>
    </dgm:pt>
    <dgm:pt modelId="{8175C4AA-5EC1-4226-9BAC-3B89BFEE90DF}" type="pres">
      <dgm:prSet presAssocID="{354B9E6E-BCD6-458D-80D7-937383CB23A1}" presName="text_2" presStyleLbl="node1" presStyleIdx="1" presStyleCnt="3">
        <dgm:presLayoutVars>
          <dgm:bulletEnabled val="1"/>
        </dgm:presLayoutVars>
      </dgm:prSet>
      <dgm:spPr/>
      <dgm:t>
        <a:bodyPr/>
        <a:lstStyle/>
        <a:p>
          <a:endParaRPr lang="fr-FR"/>
        </a:p>
      </dgm:t>
    </dgm:pt>
    <dgm:pt modelId="{0889D35C-31E2-4D81-BE24-59FBE45071E7}" type="pres">
      <dgm:prSet presAssocID="{354B9E6E-BCD6-458D-80D7-937383CB23A1}" presName="accent_2" presStyleCnt="0"/>
      <dgm:spPr/>
    </dgm:pt>
    <dgm:pt modelId="{5D996478-7DCA-4FC1-9D1C-D62D205B674C}" type="pres">
      <dgm:prSet presAssocID="{354B9E6E-BCD6-458D-80D7-937383CB23A1}" presName="accentRepeatNode" presStyleLbl="solidFgAcc1" presStyleIdx="1" presStyleCnt="3"/>
      <dgm:spPr/>
    </dgm:pt>
    <dgm:pt modelId="{7662F598-B120-451A-8367-11474BF289DD}" type="pres">
      <dgm:prSet presAssocID="{8614F866-EFAD-4684-AE90-FCC7066E3F41}" presName="text_3" presStyleLbl="node1" presStyleIdx="2" presStyleCnt="3">
        <dgm:presLayoutVars>
          <dgm:bulletEnabled val="1"/>
        </dgm:presLayoutVars>
      </dgm:prSet>
      <dgm:spPr/>
    </dgm:pt>
    <dgm:pt modelId="{A6B60D27-8AF1-462B-A71B-36332E326B00}" type="pres">
      <dgm:prSet presAssocID="{8614F866-EFAD-4684-AE90-FCC7066E3F41}" presName="accent_3" presStyleCnt="0"/>
      <dgm:spPr/>
    </dgm:pt>
    <dgm:pt modelId="{058BB678-982D-4474-A931-9BE1936F2EAE}" type="pres">
      <dgm:prSet presAssocID="{8614F866-EFAD-4684-AE90-FCC7066E3F41}" presName="accentRepeatNode" presStyleLbl="solidFgAcc1" presStyleIdx="2" presStyleCnt="3"/>
      <dgm:spPr/>
    </dgm:pt>
  </dgm:ptLst>
  <dgm:cxnLst>
    <dgm:cxn modelId="{020E346B-FF97-4194-8658-0AA4E1CC7B86}" type="presOf" srcId="{8614F866-EFAD-4684-AE90-FCC7066E3F41}" destId="{7662F598-B120-451A-8367-11474BF289DD}" srcOrd="0" destOrd="0" presId="urn:microsoft.com/office/officeart/2008/layout/VerticalCurvedList"/>
    <dgm:cxn modelId="{6C1EF5CD-34EB-42D1-9C6C-FAA4FE7EDC66}" type="presOf" srcId="{00FDE8AA-41D6-4951-8183-CF5F4C623C56}" destId="{B988C5F4-1616-4955-8B00-93FF2E52ED71}" srcOrd="0" destOrd="0" presId="urn:microsoft.com/office/officeart/2008/layout/VerticalCurvedList"/>
    <dgm:cxn modelId="{0ED6B58D-4502-4F77-9732-96FB790996C1}" type="presOf" srcId="{75344623-6FB4-482E-9982-697E36D80061}" destId="{14638CAF-7A10-489A-9E7E-0DFE0613C473}" srcOrd="0" destOrd="0" presId="urn:microsoft.com/office/officeart/2008/layout/VerticalCurvedList"/>
    <dgm:cxn modelId="{802ADEA0-FE2C-4444-8E11-C7C070288A5F}" srcId="{C6096D09-CB8F-46E1-B870-B669F66F50F2}" destId="{354B9E6E-BCD6-458D-80D7-937383CB23A1}" srcOrd="1" destOrd="0" parTransId="{51776E16-79B5-4C43-B33D-0102F99AAE7C}" sibTransId="{BA5835A9-A2B2-4F2F-A405-1D5D7D09706A}"/>
    <dgm:cxn modelId="{93EFA18D-4D11-4DE8-8939-AFCAF0D1C93A}" type="presOf" srcId="{354B9E6E-BCD6-458D-80D7-937383CB23A1}" destId="{8175C4AA-5EC1-4226-9BAC-3B89BFEE90DF}" srcOrd="0" destOrd="0" presId="urn:microsoft.com/office/officeart/2008/layout/VerticalCurvedList"/>
    <dgm:cxn modelId="{C1E328BC-B73C-444C-B6FF-4F6611DF3874}" srcId="{C6096D09-CB8F-46E1-B870-B669F66F50F2}" destId="{00FDE8AA-41D6-4951-8183-CF5F4C623C56}" srcOrd="0" destOrd="0" parTransId="{7638FBEA-759E-4FF7-8E0C-74267E49F5D2}" sibTransId="{75344623-6FB4-482E-9982-697E36D80061}"/>
    <dgm:cxn modelId="{5A38856C-9BE2-438C-9EEC-68745523A0C3}" type="presOf" srcId="{C6096D09-CB8F-46E1-B870-B669F66F50F2}" destId="{E31111B9-9CE0-48EF-8EA2-122598F8E48C}" srcOrd="0" destOrd="0" presId="urn:microsoft.com/office/officeart/2008/layout/VerticalCurvedList"/>
    <dgm:cxn modelId="{57AF71DD-7ECF-456A-A3FD-A716327F0FF4}" srcId="{C6096D09-CB8F-46E1-B870-B669F66F50F2}" destId="{8614F866-EFAD-4684-AE90-FCC7066E3F41}" srcOrd="2" destOrd="0" parTransId="{57AB04BE-A17D-4EAC-B232-EF34A78D551E}" sibTransId="{A21D2983-6061-4728-9EEB-D1F1C18CC8B0}"/>
    <dgm:cxn modelId="{72F88FCE-3D0E-4FC0-9271-320344763C99}" type="presParOf" srcId="{E31111B9-9CE0-48EF-8EA2-122598F8E48C}" destId="{2FF5CB5B-C72D-41BF-951D-5E75FE0EF5F3}" srcOrd="0" destOrd="0" presId="urn:microsoft.com/office/officeart/2008/layout/VerticalCurvedList"/>
    <dgm:cxn modelId="{30AD6958-4A16-42B3-AF70-D63C73B830D1}" type="presParOf" srcId="{2FF5CB5B-C72D-41BF-951D-5E75FE0EF5F3}" destId="{6B242545-0533-4B4D-8DCF-3B78F9529313}" srcOrd="0" destOrd="0" presId="urn:microsoft.com/office/officeart/2008/layout/VerticalCurvedList"/>
    <dgm:cxn modelId="{0F5102A3-D10E-41AB-91E2-EC03BEAEB622}" type="presParOf" srcId="{6B242545-0533-4B4D-8DCF-3B78F9529313}" destId="{8BA706F2-2F88-4252-9208-E73411C5F874}" srcOrd="0" destOrd="0" presId="urn:microsoft.com/office/officeart/2008/layout/VerticalCurvedList"/>
    <dgm:cxn modelId="{EAE8A9DD-5906-4783-8E65-6556A9AC0E99}" type="presParOf" srcId="{6B242545-0533-4B4D-8DCF-3B78F9529313}" destId="{14638CAF-7A10-489A-9E7E-0DFE0613C473}" srcOrd="1" destOrd="0" presId="urn:microsoft.com/office/officeart/2008/layout/VerticalCurvedList"/>
    <dgm:cxn modelId="{CBA3142A-9D07-48F0-AA08-027CF6041AC7}" type="presParOf" srcId="{6B242545-0533-4B4D-8DCF-3B78F9529313}" destId="{C0CBB877-8871-447B-992B-289CEA328BAA}" srcOrd="2" destOrd="0" presId="urn:microsoft.com/office/officeart/2008/layout/VerticalCurvedList"/>
    <dgm:cxn modelId="{C2A98D9B-7FFB-4A22-B162-BE2BC7D8FEDA}" type="presParOf" srcId="{6B242545-0533-4B4D-8DCF-3B78F9529313}" destId="{32B39BC2-AC83-48FD-97BC-D5A57C537873}" srcOrd="3" destOrd="0" presId="urn:microsoft.com/office/officeart/2008/layout/VerticalCurvedList"/>
    <dgm:cxn modelId="{9AA6C4D3-5422-4AC9-A452-8B304C602364}" type="presParOf" srcId="{2FF5CB5B-C72D-41BF-951D-5E75FE0EF5F3}" destId="{B988C5F4-1616-4955-8B00-93FF2E52ED71}" srcOrd="1" destOrd="0" presId="urn:microsoft.com/office/officeart/2008/layout/VerticalCurvedList"/>
    <dgm:cxn modelId="{7386C2AC-B577-4D10-846B-7DF47BD44584}" type="presParOf" srcId="{2FF5CB5B-C72D-41BF-951D-5E75FE0EF5F3}" destId="{0D538389-5A46-4D5A-A923-909EEA974170}" srcOrd="2" destOrd="0" presId="urn:microsoft.com/office/officeart/2008/layout/VerticalCurvedList"/>
    <dgm:cxn modelId="{4B5D043D-836B-4475-90D0-9892C2D14BA8}" type="presParOf" srcId="{0D538389-5A46-4D5A-A923-909EEA974170}" destId="{055EE5AC-0543-43FC-B379-E0C76482982C}" srcOrd="0" destOrd="0" presId="urn:microsoft.com/office/officeart/2008/layout/VerticalCurvedList"/>
    <dgm:cxn modelId="{E9B66FB5-F14B-4ACF-B542-F4E0C21E330F}" type="presParOf" srcId="{2FF5CB5B-C72D-41BF-951D-5E75FE0EF5F3}" destId="{8175C4AA-5EC1-4226-9BAC-3B89BFEE90DF}" srcOrd="3" destOrd="0" presId="urn:microsoft.com/office/officeart/2008/layout/VerticalCurvedList"/>
    <dgm:cxn modelId="{18E5EF5F-718E-4E9A-94F9-1DB5EF57817C}" type="presParOf" srcId="{2FF5CB5B-C72D-41BF-951D-5E75FE0EF5F3}" destId="{0889D35C-31E2-4D81-BE24-59FBE45071E7}" srcOrd="4" destOrd="0" presId="urn:microsoft.com/office/officeart/2008/layout/VerticalCurvedList"/>
    <dgm:cxn modelId="{800C1502-8A98-4ADF-9FFA-FB4B6FC42A81}" type="presParOf" srcId="{0889D35C-31E2-4D81-BE24-59FBE45071E7}" destId="{5D996478-7DCA-4FC1-9D1C-D62D205B674C}" srcOrd="0" destOrd="0" presId="urn:microsoft.com/office/officeart/2008/layout/VerticalCurvedList"/>
    <dgm:cxn modelId="{CFD0ABEE-F492-416D-806D-E727E41B711E}" type="presParOf" srcId="{2FF5CB5B-C72D-41BF-951D-5E75FE0EF5F3}" destId="{7662F598-B120-451A-8367-11474BF289DD}" srcOrd="5" destOrd="0" presId="urn:microsoft.com/office/officeart/2008/layout/VerticalCurvedList"/>
    <dgm:cxn modelId="{F95EA099-757E-41D1-B5A5-A4D627DA82F4}" type="presParOf" srcId="{2FF5CB5B-C72D-41BF-951D-5E75FE0EF5F3}" destId="{A6B60D27-8AF1-462B-A71B-36332E326B00}" srcOrd="6" destOrd="0" presId="urn:microsoft.com/office/officeart/2008/layout/VerticalCurvedList"/>
    <dgm:cxn modelId="{A52F51A1-94E4-4F2A-AE38-CDF200D06CA3}" type="presParOf" srcId="{A6B60D27-8AF1-462B-A71B-36332E326B00}" destId="{058BB678-982D-4474-A931-9BE1936F2EAE}" srcOrd="0" destOrd="0" presId="urn:microsoft.com/office/officeart/2008/layout/VerticalCurvedList"/>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638CAF-7A10-489A-9E7E-0DFE0613C473}">
      <dsp:nvSpPr>
        <dsp:cNvPr id="0" name=""/>
        <dsp:cNvSpPr/>
      </dsp:nvSpPr>
      <dsp:spPr>
        <a:xfrm>
          <a:off x="-3250876" y="-500166"/>
          <a:ext cx="3876883" cy="3876883"/>
        </a:xfrm>
        <a:prstGeom prst="blockArc">
          <a:avLst>
            <a:gd name="adj1" fmla="val 18900000"/>
            <a:gd name="adj2" fmla="val 2700000"/>
            <a:gd name="adj3" fmla="val 557"/>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88C5F4-1616-4955-8B00-93FF2E52ED71}">
      <dsp:nvSpPr>
        <dsp:cNvPr id="0" name=""/>
        <dsp:cNvSpPr/>
      </dsp:nvSpPr>
      <dsp:spPr>
        <a:xfrm>
          <a:off x="402529" y="287655"/>
          <a:ext cx="4818838" cy="57531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6652" tIns="27940" rIns="27940" bIns="27940" numCol="1" spcCol="1270" anchor="ctr" anchorCtr="0">
          <a:noAutofit/>
        </a:bodyPr>
        <a:lstStyle/>
        <a:p>
          <a:pPr lvl="0" algn="l" defTabSz="466725">
            <a:lnSpc>
              <a:spcPct val="90000"/>
            </a:lnSpc>
            <a:spcBef>
              <a:spcPct val="0"/>
            </a:spcBef>
            <a:spcAft>
              <a:spcPct val="35000"/>
            </a:spcAft>
          </a:pPr>
          <a:r>
            <a:rPr lang="fr-CA" sz="1050" kern="1200"/>
            <a:t>Senge, P. (2016). </a:t>
          </a:r>
          <a:r>
            <a:rPr lang="fr-CA" sz="1050" i="1" kern="1200"/>
            <a:t>La cinquième discipline: l’innovation collective dans les organisations apprenantes.</a:t>
          </a:r>
          <a:r>
            <a:rPr lang="fr-CA" sz="1050" kern="1200"/>
            <a:t> Paris : Eyrolles (1</a:t>
          </a:r>
          <a:r>
            <a:rPr lang="fr-CA" sz="1050" kern="1200" baseline="30000"/>
            <a:t>re</a:t>
          </a:r>
          <a:r>
            <a:rPr lang="fr-CA" sz="1050" kern="1200"/>
            <a:t> éd. 1990).</a:t>
          </a:r>
        </a:p>
      </dsp:txBody>
      <dsp:txXfrm>
        <a:off x="402529" y="287655"/>
        <a:ext cx="4818838" cy="575310"/>
      </dsp:txXfrm>
    </dsp:sp>
    <dsp:sp modelId="{055EE5AC-0543-43FC-B379-E0C76482982C}">
      <dsp:nvSpPr>
        <dsp:cNvPr id="0" name=""/>
        <dsp:cNvSpPr/>
      </dsp:nvSpPr>
      <dsp:spPr>
        <a:xfrm>
          <a:off x="42960" y="215741"/>
          <a:ext cx="719137" cy="719137"/>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8175C4AA-5EC1-4226-9BAC-3B89BFEE90DF}">
      <dsp:nvSpPr>
        <dsp:cNvPr id="0" name=""/>
        <dsp:cNvSpPr/>
      </dsp:nvSpPr>
      <dsp:spPr>
        <a:xfrm>
          <a:off x="611654" y="1150620"/>
          <a:ext cx="4609713" cy="57531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6652" tIns="25400" rIns="25400" bIns="25400" numCol="1" spcCol="1270" anchor="ctr" anchorCtr="0">
          <a:noAutofit/>
        </a:bodyPr>
        <a:lstStyle/>
        <a:p>
          <a:pPr lvl="0" algn="l" defTabSz="444500">
            <a:lnSpc>
              <a:spcPct val="90000"/>
            </a:lnSpc>
            <a:spcBef>
              <a:spcPct val="0"/>
            </a:spcBef>
            <a:spcAft>
              <a:spcPct val="35000"/>
            </a:spcAft>
          </a:pPr>
          <a:r>
            <a:rPr lang="fr-FR" sz="1000" u="none" kern="1200"/>
            <a:t>Dialogue Interviews</a:t>
          </a:r>
        </a:p>
        <a:p>
          <a:pPr lvl="0" algn="l" defTabSz="444500">
            <a:lnSpc>
              <a:spcPct val="90000"/>
            </a:lnSpc>
            <a:spcBef>
              <a:spcPct val="0"/>
            </a:spcBef>
            <a:spcAft>
              <a:spcPct val="35000"/>
            </a:spcAft>
          </a:pPr>
          <a:r>
            <a:rPr lang="fr-FR" sz="1000" kern="1200"/>
            <a:t>https://www.presencing.org/tools/sensing-journeys-0#/resource/tools/dialogue-interview-desc</a:t>
          </a:r>
          <a:endParaRPr lang="fr-CA" sz="1000" kern="1200"/>
        </a:p>
      </dsp:txBody>
      <dsp:txXfrm>
        <a:off x="611654" y="1150620"/>
        <a:ext cx="4609713" cy="575310"/>
      </dsp:txXfrm>
    </dsp:sp>
    <dsp:sp modelId="{5D996478-7DCA-4FC1-9D1C-D62D205B674C}">
      <dsp:nvSpPr>
        <dsp:cNvPr id="0" name=""/>
        <dsp:cNvSpPr/>
      </dsp:nvSpPr>
      <dsp:spPr>
        <a:xfrm>
          <a:off x="252085" y="1078706"/>
          <a:ext cx="719137" cy="719137"/>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662F598-B120-451A-8367-11474BF289DD}">
      <dsp:nvSpPr>
        <dsp:cNvPr id="0" name=""/>
        <dsp:cNvSpPr/>
      </dsp:nvSpPr>
      <dsp:spPr>
        <a:xfrm>
          <a:off x="402529" y="2013585"/>
          <a:ext cx="4818838" cy="575310"/>
        </a:xfrm>
        <a:prstGeom prst="rect">
          <a:avLst/>
        </a:prstGeom>
        <a:solidFill>
          <a:schemeClr val="lt1">
            <a:hueOff val="0"/>
            <a:satOff val="0"/>
            <a:lumOff val="0"/>
            <a:alphaOff val="0"/>
          </a:schemeClr>
        </a:solid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6652" tIns="27940" rIns="27940" bIns="27940" numCol="1" spcCol="1270" anchor="ctr" anchorCtr="0">
          <a:noAutofit/>
        </a:bodyPr>
        <a:lstStyle/>
        <a:p>
          <a:pPr lvl="0" algn="l" defTabSz="466725">
            <a:lnSpc>
              <a:spcPct val="90000"/>
            </a:lnSpc>
            <a:spcBef>
              <a:spcPct val="0"/>
            </a:spcBef>
            <a:spcAft>
              <a:spcPct val="35000"/>
            </a:spcAft>
          </a:pPr>
          <a:r>
            <a:rPr lang="fr-FR" sz="1050" kern="1200"/>
            <a:t>Message de Steve Job aux diplômés de Stanford « Stay hungry, stay foolish » https://www.ted.com/talks/steve_jobs_how_to_live_before_you_die</a:t>
          </a:r>
          <a:endParaRPr lang="fr-CA" sz="1050" kern="1200"/>
        </a:p>
      </dsp:txBody>
      <dsp:txXfrm>
        <a:off x="402529" y="2013585"/>
        <a:ext cx="4818838" cy="575310"/>
      </dsp:txXfrm>
    </dsp:sp>
    <dsp:sp modelId="{058BB678-982D-4474-A931-9BE1936F2EAE}">
      <dsp:nvSpPr>
        <dsp:cNvPr id="0" name=""/>
        <dsp:cNvSpPr/>
      </dsp:nvSpPr>
      <dsp:spPr>
        <a:xfrm>
          <a:off x="42960" y="1941671"/>
          <a:ext cx="719137" cy="719137"/>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5</Words>
  <Characters>33</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Fakhouri Rahibe</dc:creator>
  <cp:keywords/>
  <dc:description/>
  <cp:lastModifiedBy>Fakhouri Rahibe</cp:lastModifiedBy>
  <cp:revision>9</cp:revision>
  <dcterms:created xsi:type="dcterms:W3CDTF">2018-12-17T18:53:00Z</dcterms:created>
  <dcterms:modified xsi:type="dcterms:W3CDTF">2018-12-17T20:03:00Z</dcterms:modified>
</cp:coreProperties>
</file>